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B77" w14:textId="77777777" w:rsidR="00327F09" w:rsidRPr="00AE0FB8" w:rsidRDefault="00327F09" w:rsidP="00327F09">
      <w:pPr>
        <w:pStyle w:val="Heading2"/>
        <w:numPr>
          <w:ilvl w:val="0"/>
          <w:numId w:val="0"/>
        </w:numPr>
        <w:rPr>
          <w:sz w:val="32"/>
          <w:szCs w:val="32"/>
        </w:rPr>
      </w:pPr>
      <w:r w:rsidRPr="00AE0FB8">
        <w:rPr>
          <w:sz w:val="32"/>
          <w:szCs w:val="32"/>
        </w:rPr>
        <w:t xml:space="preserve">Pacific Lamprey Conservation Initiative </w:t>
      </w:r>
    </w:p>
    <w:p w14:paraId="0948E70F" w14:textId="150E7D9A" w:rsidR="0074513A" w:rsidRDefault="0074513A">
      <w:pPr>
        <w:rPr>
          <w:b/>
          <w:bCs/>
        </w:rPr>
      </w:pPr>
    </w:p>
    <w:p w14:paraId="67F54CE4" w14:textId="54B662A0" w:rsidR="00327F09" w:rsidRPr="00327F09" w:rsidRDefault="00327F09">
      <w:pPr>
        <w:rPr>
          <w:b/>
          <w:bCs/>
        </w:rPr>
      </w:pPr>
      <w:r w:rsidRPr="005A1E59">
        <w:rPr>
          <w:rFonts w:cs="Times New Roman"/>
          <w:b/>
          <w:bCs/>
          <w:iCs/>
          <w:sz w:val="24"/>
          <w:szCs w:val="26"/>
        </w:rPr>
        <w:t>PROJECT TITLE:</w:t>
      </w:r>
      <w:r>
        <w:rPr>
          <w:rFonts w:cs="Times New Roman"/>
          <w:iCs/>
          <w:sz w:val="24"/>
          <w:szCs w:val="26"/>
        </w:rPr>
        <w:t xml:space="preserve"> </w:t>
      </w:r>
      <w:r w:rsidRPr="0006585B">
        <w:rPr>
          <w:rFonts w:cs="Times New Roman"/>
          <w:iCs/>
          <w:sz w:val="24"/>
          <w:szCs w:val="26"/>
        </w:rPr>
        <w:t xml:space="preserve">Lethal </w:t>
      </w:r>
      <w:r>
        <w:rPr>
          <w:rFonts w:cs="Times New Roman"/>
          <w:iCs/>
          <w:sz w:val="24"/>
          <w:szCs w:val="26"/>
        </w:rPr>
        <w:t>A</w:t>
      </w:r>
      <w:r w:rsidRPr="0006585B">
        <w:rPr>
          <w:rFonts w:cs="Times New Roman"/>
          <w:iCs/>
          <w:sz w:val="24"/>
          <w:szCs w:val="26"/>
        </w:rPr>
        <w:t xml:space="preserve">ir </w:t>
      </w:r>
      <w:r>
        <w:rPr>
          <w:rFonts w:cs="Times New Roman"/>
          <w:iCs/>
          <w:sz w:val="24"/>
          <w:szCs w:val="26"/>
        </w:rPr>
        <w:t>T</w:t>
      </w:r>
      <w:r w:rsidRPr="0006585B">
        <w:rPr>
          <w:rFonts w:cs="Times New Roman"/>
          <w:iCs/>
          <w:sz w:val="24"/>
          <w:szCs w:val="26"/>
        </w:rPr>
        <w:t xml:space="preserve">emperatures for </w:t>
      </w:r>
      <w:r>
        <w:rPr>
          <w:rFonts w:cs="Times New Roman"/>
          <w:iCs/>
          <w:sz w:val="24"/>
          <w:szCs w:val="26"/>
        </w:rPr>
        <w:t>D</w:t>
      </w:r>
      <w:r w:rsidRPr="0006585B">
        <w:rPr>
          <w:rFonts w:cs="Times New Roman"/>
          <w:iCs/>
          <w:sz w:val="24"/>
          <w:szCs w:val="26"/>
        </w:rPr>
        <w:t xml:space="preserve">ewatered </w:t>
      </w:r>
      <w:r>
        <w:rPr>
          <w:rFonts w:cs="Times New Roman"/>
          <w:iCs/>
          <w:sz w:val="24"/>
          <w:szCs w:val="26"/>
        </w:rPr>
        <w:t>L</w:t>
      </w:r>
      <w:r w:rsidRPr="0006585B">
        <w:rPr>
          <w:rFonts w:cs="Times New Roman"/>
          <w:iCs/>
          <w:sz w:val="24"/>
          <w:szCs w:val="26"/>
        </w:rPr>
        <w:t>amprey: Research to Improve Best Management Guidance</w:t>
      </w:r>
    </w:p>
    <w:tbl>
      <w:tblPr>
        <w:tblW w:w="10440" w:type="dxa"/>
        <w:tblLook w:val="04A0" w:firstRow="1" w:lastRow="0" w:firstColumn="1" w:lastColumn="0" w:noHBand="0" w:noVBand="1"/>
      </w:tblPr>
      <w:tblGrid>
        <w:gridCol w:w="2220"/>
        <w:gridCol w:w="2860"/>
        <w:gridCol w:w="1897"/>
        <w:gridCol w:w="222"/>
        <w:gridCol w:w="222"/>
        <w:gridCol w:w="99"/>
        <w:gridCol w:w="123"/>
        <w:gridCol w:w="222"/>
        <w:gridCol w:w="222"/>
        <w:gridCol w:w="222"/>
        <w:gridCol w:w="2131"/>
      </w:tblGrid>
      <w:tr w:rsidR="00327F09" w:rsidRPr="00327F09" w14:paraId="7BD00094" w14:textId="77777777" w:rsidTr="005A1E59">
        <w:trPr>
          <w:gridAfter w:val="1"/>
          <w:wAfter w:w="2131" w:type="dxa"/>
          <w:trHeight w:val="288"/>
        </w:trPr>
        <w:tc>
          <w:tcPr>
            <w:tcW w:w="8309" w:type="dxa"/>
            <w:gridSpan w:val="10"/>
            <w:tcBorders>
              <w:top w:val="nil"/>
              <w:left w:val="nil"/>
              <w:bottom w:val="nil"/>
              <w:right w:val="nil"/>
            </w:tcBorders>
            <w:shd w:val="clear" w:color="auto" w:fill="auto"/>
            <w:noWrap/>
            <w:vAlign w:val="bottom"/>
            <w:hideMark/>
          </w:tcPr>
          <w:p w14:paraId="75F0B38E" w14:textId="77777777" w:rsidR="00327F09" w:rsidRDefault="00327F09" w:rsidP="00327F09">
            <w:pPr>
              <w:spacing w:after="0" w:line="240" w:lineRule="auto"/>
              <w:rPr>
                <w:rFonts w:ascii="Calibri" w:eastAsia="Times New Roman" w:hAnsi="Calibri" w:cs="Calibri"/>
                <w:color w:val="000000"/>
              </w:rPr>
            </w:pPr>
          </w:p>
          <w:p w14:paraId="5EF3B9E9" w14:textId="77777777" w:rsidR="00327F09" w:rsidRPr="00975D10" w:rsidRDefault="00327F09" w:rsidP="00327F09">
            <w:pPr>
              <w:spacing w:after="0" w:line="240" w:lineRule="auto"/>
              <w:rPr>
                <w:bCs/>
                <w:iCs/>
              </w:rPr>
            </w:pPr>
            <w:r w:rsidRPr="00FB53A8">
              <w:rPr>
                <w:b/>
                <w:i/>
              </w:rPr>
              <w:t>Project Applicant/Organization:</w:t>
            </w:r>
            <w:r>
              <w:rPr>
                <w:b/>
                <w:i/>
              </w:rPr>
              <w:t xml:space="preserve"> </w:t>
            </w:r>
            <w:r w:rsidRPr="00975D10">
              <w:rPr>
                <w:bCs/>
                <w:iCs/>
              </w:rPr>
              <w:t>US Geological Survey</w:t>
            </w:r>
          </w:p>
          <w:p w14:paraId="473005EC" w14:textId="77777777" w:rsidR="00327F09" w:rsidRPr="00975D10" w:rsidRDefault="00327F09" w:rsidP="00327F09">
            <w:pPr>
              <w:spacing w:after="0" w:line="240" w:lineRule="auto"/>
              <w:rPr>
                <w:bCs/>
                <w:iCs/>
              </w:rPr>
            </w:pPr>
            <w:r>
              <w:rPr>
                <w:b/>
                <w:i/>
              </w:rPr>
              <w:t>Project Lead</w:t>
            </w:r>
            <w:r w:rsidRPr="00FB53A8">
              <w:rPr>
                <w:b/>
                <w:i/>
              </w:rPr>
              <w:t>:</w:t>
            </w:r>
            <w:r>
              <w:rPr>
                <w:b/>
                <w:i/>
              </w:rPr>
              <w:t xml:space="preserve"> </w:t>
            </w:r>
            <w:r w:rsidRPr="00975D10">
              <w:rPr>
                <w:bCs/>
                <w:iCs/>
              </w:rPr>
              <w:t>Theresa “Marty” Liedtke</w:t>
            </w:r>
          </w:p>
          <w:p w14:paraId="18600641" w14:textId="77777777" w:rsidR="00327F09" w:rsidRPr="00975D10" w:rsidRDefault="00327F09" w:rsidP="00327F09">
            <w:pPr>
              <w:spacing w:after="0" w:line="240" w:lineRule="auto"/>
              <w:rPr>
                <w:bCs/>
                <w:iCs/>
              </w:rPr>
            </w:pPr>
            <w:r w:rsidRPr="00FB53A8">
              <w:rPr>
                <w:b/>
                <w:i/>
              </w:rPr>
              <w:t>Email:</w:t>
            </w:r>
            <w:r>
              <w:rPr>
                <w:b/>
                <w:i/>
              </w:rPr>
              <w:t xml:space="preserve"> </w:t>
            </w:r>
            <w:r w:rsidRPr="00975D10">
              <w:rPr>
                <w:bCs/>
                <w:iCs/>
              </w:rPr>
              <w:t>tliedtke@usgs.gov</w:t>
            </w:r>
          </w:p>
          <w:p w14:paraId="36DCA516" w14:textId="77777777" w:rsidR="00327F09" w:rsidRPr="00975D10" w:rsidRDefault="00327F09" w:rsidP="00327F09">
            <w:pPr>
              <w:spacing w:after="0" w:line="240" w:lineRule="auto"/>
              <w:rPr>
                <w:bCs/>
                <w:iCs/>
              </w:rPr>
            </w:pPr>
            <w:r w:rsidRPr="00FB53A8">
              <w:rPr>
                <w:b/>
                <w:i/>
              </w:rPr>
              <w:t>Phone:</w:t>
            </w:r>
            <w:r>
              <w:rPr>
                <w:b/>
                <w:i/>
              </w:rPr>
              <w:t xml:space="preserve"> </w:t>
            </w:r>
            <w:r w:rsidRPr="00975D10">
              <w:rPr>
                <w:bCs/>
                <w:iCs/>
              </w:rPr>
              <w:t>509-538-2963</w:t>
            </w:r>
          </w:p>
          <w:p w14:paraId="49B5FCAE" w14:textId="77777777" w:rsidR="00327F09" w:rsidRDefault="00327F09" w:rsidP="00327F09">
            <w:pPr>
              <w:spacing w:after="0" w:line="240" w:lineRule="auto"/>
              <w:rPr>
                <w:b/>
              </w:rPr>
            </w:pPr>
          </w:p>
          <w:p w14:paraId="65AB882F" w14:textId="77777777" w:rsidR="00327F09" w:rsidRPr="00975D10" w:rsidRDefault="00327F09" w:rsidP="00327F09">
            <w:pPr>
              <w:spacing w:after="0" w:line="240" w:lineRule="auto"/>
              <w:rPr>
                <w:bCs/>
                <w:iCs/>
              </w:rPr>
            </w:pPr>
            <w:r w:rsidRPr="00FB53A8">
              <w:rPr>
                <w:b/>
                <w:i/>
              </w:rPr>
              <w:t>Project Applicant/Organization:</w:t>
            </w:r>
            <w:r>
              <w:rPr>
                <w:b/>
                <w:i/>
              </w:rPr>
              <w:t xml:space="preserve"> </w:t>
            </w:r>
            <w:r w:rsidRPr="00975D10">
              <w:rPr>
                <w:bCs/>
                <w:iCs/>
              </w:rPr>
              <w:t>US Fish and Wildlife Service</w:t>
            </w:r>
          </w:p>
          <w:p w14:paraId="00945F46" w14:textId="77777777" w:rsidR="00327F09" w:rsidRPr="00C07574" w:rsidRDefault="00327F09" w:rsidP="00327F09">
            <w:pPr>
              <w:spacing w:after="0" w:line="240" w:lineRule="auto"/>
              <w:rPr>
                <w:bCs/>
                <w:iCs/>
              </w:rPr>
            </w:pPr>
            <w:r w:rsidRPr="00FB53A8">
              <w:rPr>
                <w:b/>
                <w:i/>
              </w:rPr>
              <w:t>Contact</w:t>
            </w:r>
            <w:r>
              <w:rPr>
                <w:b/>
                <w:i/>
              </w:rPr>
              <w:t xml:space="preserve"> Person</w:t>
            </w:r>
            <w:r w:rsidRPr="00FB53A8">
              <w:rPr>
                <w:b/>
                <w:i/>
              </w:rPr>
              <w:t>:</w:t>
            </w:r>
            <w:r>
              <w:rPr>
                <w:b/>
                <w:i/>
              </w:rPr>
              <w:t xml:space="preserve"> </w:t>
            </w:r>
            <w:r w:rsidRPr="00C07574">
              <w:rPr>
                <w:bCs/>
                <w:iCs/>
              </w:rPr>
              <w:t xml:space="preserve">Joe </w:t>
            </w:r>
            <w:proofErr w:type="spellStart"/>
            <w:r w:rsidRPr="00C07574">
              <w:rPr>
                <w:bCs/>
                <w:iCs/>
              </w:rPr>
              <w:t>Skalicky</w:t>
            </w:r>
            <w:proofErr w:type="spellEnd"/>
            <w:r>
              <w:rPr>
                <w:bCs/>
                <w:iCs/>
              </w:rPr>
              <w:t xml:space="preserve"> and Julie Harris</w:t>
            </w:r>
          </w:p>
          <w:p w14:paraId="5717BEFE" w14:textId="77777777" w:rsidR="00327F09" w:rsidRPr="00C07574" w:rsidRDefault="00327F09" w:rsidP="00327F09">
            <w:pPr>
              <w:shd w:val="clear" w:color="auto" w:fill="FFFFFF"/>
              <w:spacing w:after="0" w:line="300" w:lineRule="atLeast"/>
              <w:rPr>
                <w:rFonts w:ascii="Helvetica" w:eastAsia="Times New Roman" w:hAnsi="Helvetica" w:cs="Helvetica"/>
                <w:sz w:val="20"/>
                <w:szCs w:val="20"/>
              </w:rPr>
            </w:pPr>
            <w:r w:rsidRPr="00FB53A8">
              <w:rPr>
                <w:b/>
                <w:i/>
              </w:rPr>
              <w:t>Email</w:t>
            </w:r>
            <w:r w:rsidRPr="00C07574">
              <w:rPr>
                <w:b/>
                <w:i/>
              </w:rPr>
              <w:t>:</w:t>
            </w:r>
            <w:r w:rsidRPr="00C07574">
              <w:t xml:space="preserve"> </w:t>
            </w:r>
            <w:hyperlink r:id="rId5" w:history="1">
              <w:r w:rsidRPr="00C07574">
                <w:rPr>
                  <w:rStyle w:val="Hyperlink"/>
                </w:rPr>
                <w:t>joe.skalicky@fws.gov</w:t>
              </w:r>
            </w:hyperlink>
            <w:r>
              <w:t xml:space="preserve">; </w:t>
            </w:r>
            <w:hyperlink r:id="rId6" w:tgtFrame="_blank" w:history="1">
              <w:r w:rsidRPr="000B5B2F">
                <w:rPr>
                  <w:rFonts w:eastAsia="Times New Roman" w:cs="Times New Roman"/>
                  <w:szCs w:val="24"/>
                </w:rPr>
                <w:t>julianne_harris@fws.gov</w:t>
              </w:r>
            </w:hyperlink>
          </w:p>
          <w:p w14:paraId="450709D0" w14:textId="77777777" w:rsidR="00327F09" w:rsidRPr="000B5B2F" w:rsidRDefault="00327F09" w:rsidP="00327F09">
            <w:pPr>
              <w:spacing w:after="0" w:line="240" w:lineRule="auto"/>
              <w:rPr>
                <w:b/>
              </w:rPr>
            </w:pPr>
            <w:r w:rsidRPr="00FB53A8">
              <w:rPr>
                <w:b/>
                <w:i/>
              </w:rPr>
              <w:t>Phone:</w:t>
            </w:r>
            <w:r w:rsidRPr="00C07574">
              <w:t xml:space="preserve"> </w:t>
            </w:r>
            <w:r w:rsidRPr="000B5B2F">
              <w:t>360-604-2544</w:t>
            </w:r>
            <w:r>
              <w:t xml:space="preserve">; </w:t>
            </w:r>
            <w:r w:rsidRPr="000B5B2F">
              <w:t>360-604-2500</w:t>
            </w:r>
          </w:p>
          <w:p w14:paraId="3A105950" w14:textId="018B8D0D" w:rsidR="00327F09" w:rsidRDefault="00327F09" w:rsidP="00327F09">
            <w:pPr>
              <w:spacing w:after="0" w:line="240" w:lineRule="auto"/>
              <w:rPr>
                <w:b/>
                <w:i/>
              </w:rPr>
            </w:pPr>
          </w:p>
          <w:p w14:paraId="61AED8E7" w14:textId="0BC40411" w:rsidR="00327F09" w:rsidRDefault="00327F09" w:rsidP="00327F09">
            <w:pPr>
              <w:spacing w:after="0" w:line="240" w:lineRule="auto"/>
              <w:rPr>
                <w:b/>
                <w:i/>
              </w:rPr>
            </w:pPr>
            <w:r w:rsidRPr="003F3CBA">
              <w:rPr>
                <w:b/>
                <w:i/>
              </w:rPr>
              <w:t>Short Project Summary</w:t>
            </w:r>
          </w:p>
          <w:p w14:paraId="2E93AB4D" w14:textId="790FC850" w:rsidR="00327F09" w:rsidRDefault="00327F09" w:rsidP="00327F09">
            <w:pPr>
              <w:spacing w:after="0" w:line="240" w:lineRule="auto"/>
            </w:pPr>
            <w:r w:rsidRPr="005D0C8B">
              <w:rPr>
                <w:rFonts w:cs="Times New Roman"/>
                <w:iCs/>
                <w:szCs w:val="24"/>
              </w:rPr>
              <w:t xml:space="preserve">Dewatering events occur routinely throughout the range of Pacific Lamprey and each event may kill </w:t>
            </w:r>
            <w:r>
              <w:rPr>
                <w:rFonts w:cs="Times New Roman"/>
                <w:iCs/>
                <w:szCs w:val="24"/>
              </w:rPr>
              <w:t xml:space="preserve">many </w:t>
            </w:r>
            <w:r w:rsidRPr="005D0C8B">
              <w:rPr>
                <w:rFonts w:cs="Times New Roman"/>
                <w:iCs/>
                <w:szCs w:val="24"/>
              </w:rPr>
              <w:t>thousands of larvae</w:t>
            </w:r>
            <w:r>
              <w:rPr>
                <w:rFonts w:cs="Times New Roman"/>
                <w:iCs/>
                <w:szCs w:val="24"/>
              </w:rPr>
              <w:t xml:space="preserve"> </w:t>
            </w:r>
            <w:r>
              <w:rPr>
                <w:rFonts w:cs="Times New Roman"/>
                <w:iCs/>
                <w:szCs w:val="24"/>
              </w:rPr>
              <w:fldChar w:fldCharType="begin"/>
            </w:r>
            <w:r>
              <w:rPr>
                <w:rFonts w:cs="Times New Roman"/>
                <w:iCs/>
                <w:szCs w:val="24"/>
              </w:rPr>
              <w:instrText xml:space="preserve"> ADDIN ZOTERO_ITEM CSL_CITATION {"citationID":"VOO67CsJ","properties":{"formattedCitation":"(Harris et al. 2020)","plainCitation":"(Harris et al. 2020)","noteIndex":0},"citationItems":[{"id":49,"uris":["http://zotero.org/users/7771372/items/G3JEU64N"],"uri":["http://zotero.org/users/7771372/items/G3JEU64N"],"itemData":{"id":49,"type":"article-journal","abstract":"Anthropogenic dewatering of aquatic habitats can cause stranding and mortality of burrowed larval lampreys; however, the effects of dewatering have not been quantified. We assessed: (a) changes in spatial distribution, abundance, and emergence of larvae dewatered at Leaburg Reservoir (OR); (b) emergence and mortality of larvae dewatered in a laboratory; and (c) bias, precision, and interpretation of field results by simulation and modeling of laboratory results. In the field, we examined the distribution, abundance (by N-mixture model), and density of larvae by electrofishing at randomly selected sites before dewatering and after refill, and assessed the emergence rate by observation and excavation during dewatering. Due to dewatering in the field, about 42% of larvae emerged and spatial distribution changed toward sites dewatered less than 20 hours. Estimated average density decreased from 10.8 larvae/m2 before dewatering to 2.3 larvae/m2 after refilling, suggesting that abundance declined by 79%; simulation suggested this decline ranged 71–84% (interquartile range). In the laboratory, we examined the emergence and mortality rates of larvae dewatered 0–48 hrs. The emergence rate in the laboratory was similar to that in the field. Mortality rate increased with hours dewatered and was higher for emerged than burrowed larvae. Laboratory estimates of mortality rate predicted a 61% decline in abundance if only burrowed larvae survived and a 54% decline if both burrowed and emerged larvae survived. Abundance declines in the field could be from mortality (e.g., desiccation, predation) and relocation to watered habitat. Our results indicate dewatering can substantially affect spatial distribution and abundance of larval lampreys in freshwater ecosystems.","container-title":"River Research and Applications","DOI":"10.1002/rra.3730","ISSN":"1535-1459, 1535-1467","issue":"10","journalAbbreviation":"River Res Applic","language":"en","page":"2001-2012","source":"DOI.org (Crossref)","title":"Effects of dewatering on behavior, distribution, and abundance of larval lampreys","volume":"36","author":[{"family":"Harris","given":"Julianne E."},{"family":"Skalicky","given":"Joseph J."},{"family":"Liedtke","given":"Theresa L."},{"family":"Weiland","given":"Lisa K."},{"family":"Clemens","given":"Benjamin J."},{"family":"Gray","given":"Ann E."}],"issued":{"date-parts":[["2020",12]]}}}],"schema":"https://github.com/citation-style-language/schema/raw/master/csl-citation.json"} </w:instrText>
            </w:r>
            <w:r>
              <w:rPr>
                <w:rFonts w:cs="Times New Roman"/>
                <w:iCs/>
                <w:szCs w:val="24"/>
              </w:rPr>
              <w:fldChar w:fldCharType="separate"/>
            </w:r>
            <w:r w:rsidRPr="00977081">
              <w:rPr>
                <w:rFonts w:cs="Times New Roman"/>
              </w:rPr>
              <w:t>(Harris et al. 2020)</w:t>
            </w:r>
            <w:r>
              <w:rPr>
                <w:rFonts w:cs="Times New Roman"/>
                <w:iCs/>
                <w:szCs w:val="24"/>
              </w:rPr>
              <w:fldChar w:fldCharType="end"/>
            </w:r>
            <w:r>
              <w:rPr>
                <w:rFonts w:cs="Times New Roman"/>
                <w:iCs/>
                <w:szCs w:val="24"/>
              </w:rPr>
              <w:t>(</w:t>
            </w:r>
            <w:r w:rsidRPr="00EB26CA">
              <w:rPr>
                <w:rFonts w:cs="Times New Roman"/>
                <w:iCs/>
                <w:szCs w:val="24"/>
              </w:rPr>
              <w:t>Figure 1</w:t>
            </w:r>
            <w:r>
              <w:rPr>
                <w:rFonts w:cs="Times New Roman"/>
                <w:iCs/>
                <w:szCs w:val="24"/>
              </w:rPr>
              <w:t>)</w:t>
            </w:r>
            <w:r w:rsidRPr="00E05CBF">
              <w:rPr>
                <w:rFonts w:cs="Times New Roman"/>
                <w:iCs/>
                <w:szCs w:val="24"/>
              </w:rPr>
              <w:t xml:space="preserve">. Such events can have devasting impacts to populations because larvae can be densely concentrated, with multiple </w:t>
            </w:r>
            <w:r>
              <w:rPr>
                <w:rFonts w:cs="Times New Roman"/>
                <w:iCs/>
                <w:szCs w:val="24"/>
              </w:rPr>
              <w:t xml:space="preserve">species and </w:t>
            </w:r>
            <w:r w:rsidRPr="00E05CBF">
              <w:rPr>
                <w:rFonts w:cs="Times New Roman"/>
                <w:iCs/>
                <w:szCs w:val="24"/>
              </w:rPr>
              <w:t xml:space="preserve">age classes in the same area. The </w:t>
            </w:r>
            <w:r w:rsidRPr="00E05CBF">
              <w:rPr>
                <w:rFonts w:cs="Times New Roman"/>
                <w:szCs w:val="24"/>
              </w:rPr>
              <w:t xml:space="preserve">Best Management Guidelines (BMGs; </w:t>
            </w:r>
            <w:proofErr w:type="spellStart"/>
            <w:r w:rsidRPr="00E05CBF">
              <w:rPr>
                <w:rFonts w:cs="Times New Roman"/>
                <w:szCs w:val="24"/>
              </w:rPr>
              <w:t>LTW</w:t>
            </w:r>
            <w:proofErr w:type="spellEnd"/>
            <w:r w:rsidRPr="00E05CBF">
              <w:rPr>
                <w:rFonts w:cs="Times New Roman"/>
                <w:szCs w:val="24"/>
              </w:rPr>
              <w:t xml:space="preserve"> 2020) for lampreys during in-water work recommend</w:t>
            </w:r>
            <w:r>
              <w:rPr>
                <w:rFonts w:cs="Times New Roman"/>
                <w:szCs w:val="24"/>
              </w:rPr>
              <w:t xml:space="preserve">s </w:t>
            </w:r>
            <w:r w:rsidRPr="00E05CBF">
              <w:rPr>
                <w:rFonts w:cs="Times New Roman"/>
                <w:szCs w:val="24"/>
              </w:rPr>
              <w:t xml:space="preserve">actions to </w:t>
            </w:r>
            <w:r>
              <w:rPr>
                <w:rFonts w:cs="Times New Roman"/>
                <w:szCs w:val="24"/>
              </w:rPr>
              <w:t xml:space="preserve">limit negative impacts to lamprey. </w:t>
            </w:r>
            <w:r>
              <w:t xml:space="preserve">The goal of this project is to relate air temperature and mortality of dewatered larval lamprey to improve the guidance in the BMGs, specifically, adding guidance on the maximum recommended air temperature under which dewatering can safely be conducted. Solar radiation (UV) deserves consideration along with air temperature as </w:t>
            </w:r>
            <w:proofErr w:type="gramStart"/>
            <w:r>
              <w:t>both likely</w:t>
            </w:r>
            <w:proofErr w:type="gramEnd"/>
            <w:r>
              <w:t xml:space="preserve"> contribute to larval mortality due to desiccation. The project will test full exposure to sunlight (unshaded) and diffuse (shaded) exposure at each test air temperature to understand the role of UV exposure and provide BMG guidance that can be tailored to a range of real-world dewatering locations. In the future, dewatering events </w:t>
            </w:r>
            <w:r w:rsidRPr="00F43F32">
              <w:t xml:space="preserve">will continue because in-water work </w:t>
            </w:r>
            <w:r>
              <w:t xml:space="preserve">is </w:t>
            </w:r>
            <w:r w:rsidRPr="00F43F32">
              <w:t>an ongoing need</w:t>
            </w:r>
            <w:r>
              <w:t xml:space="preserve"> and climate change my increase lethal effects.</w:t>
            </w:r>
            <w:r w:rsidRPr="00F43F32">
              <w:t xml:space="preserve"> The best approach to protect lamprey</w:t>
            </w:r>
            <w:r>
              <w:t xml:space="preserve"> </w:t>
            </w:r>
            <w:r w:rsidRPr="00F43F32">
              <w:t>is scientifically defensible information to guide dewatering proced</w:t>
            </w:r>
            <w:r>
              <w:t>ures</w:t>
            </w:r>
            <w:r w:rsidRPr="00F43F32">
              <w:t xml:space="preserve"> that can be applied throughout the </w:t>
            </w:r>
            <w:r>
              <w:t xml:space="preserve">species’ </w:t>
            </w:r>
            <w:r w:rsidRPr="00F43F32">
              <w:t>range</w:t>
            </w:r>
            <w:proofErr w:type="gramStart"/>
            <w:r w:rsidRPr="00F43F32">
              <w:t xml:space="preserve">.  </w:t>
            </w:r>
            <w:proofErr w:type="gramEnd"/>
            <w:r w:rsidRPr="00F43F32">
              <w:t xml:space="preserve"> </w:t>
            </w:r>
          </w:p>
          <w:p w14:paraId="6D848B30" w14:textId="10DCA075" w:rsidR="00327F09" w:rsidRDefault="00327F09" w:rsidP="00327F09">
            <w:pPr>
              <w:spacing w:after="0" w:line="240" w:lineRule="auto"/>
            </w:pPr>
          </w:p>
          <w:p w14:paraId="7B047142" w14:textId="14432277" w:rsidR="00327F09" w:rsidRDefault="00327F09" w:rsidP="00327F09">
            <w:pPr>
              <w:spacing w:after="0" w:line="240" w:lineRule="auto"/>
            </w:pPr>
            <w:r w:rsidRPr="003F3CBA">
              <w:rPr>
                <w:b/>
                <w:i/>
              </w:rPr>
              <w:t>Detailed Project Description</w:t>
            </w:r>
          </w:p>
          <w:p w14:paraId="0000C5BC" w14:textId="77777777" w:rsidR="00327F09" w:rsidRDefault="00327F09" w:rsidP="00327F09">
            <w:pPr>
              <w:shd w:val="clear" w:color="auto" w:fill="FFFFFF"/>
              <w:spacing w:after="0" w:line="240" w:lineRule="auto"/>
              <w:rPr>
                <w:rFonts w:eastAsia="Times New Roman" w:cs="Times New Roman"/>
                <w:color w:val="222222"/>
                <w:szCs w:val="24"/>
              </w:rPr>
            </w:pPr>
            <w:r>
              <w:t xml:space="preserve">We will complete 6 experiments to relate larval lamprey survival to air temperature and UV exposure during dewatering. Tests will be conducted outdoors and include a constant water temperature, 3 air temperature bands (low, medium, and high) and 2 UV conditions (shaded and unshaded). The shading material will allow partial UV penetration, depicting realistic field conditions. </w:t>
            </w:r>
            <w:r>
              <w:rPr>
                <w:rFonts w:eastAsia="Times New Roman" w:cs="Times New Roman"/>
                <w:color w:val="222222"/>
                <w:szCs w:val="24"/>
              </w:rPr>
              <w:t xml:space="preserve">A weather station will measure environmental conditions throughout each experiment, including air temperature, relative humidity, and UV radiation. </w:t>
            </w:r>
          </w:p>
          <w:p w14:paraId="38AE64DC" w14:textId="3E3B6FCF" w:rsidR="00327F09" w:rsidRDefault="00327F09" w:rsidP="00327F09">
            <w:pPr>
              <w:shd w:val="clear" w:color="auto" w:fill="FFFFFF"/>
              <w:spacing w:after="0" w:line="240" w:lineRule="auto"/>
              <w:rPr>
                <w:rFonts w:eastAsia="Times New Roman" w:cs="Times New Roman"/>
                <w:color w:val="222222"/>
                <w:szCs w:val="24"/>
              </w:rPr>
            </w:pPr>
          </w:p>
          <w:p w14:paraId="093D1E69" w14:textId="08C45D31" w:rsidR="005A1E59" w:rsidRDefault="005A1E59" w:rsidP="00327F09">
            <w:pPr>
              <w:shd w:val="clear" w:color="auto" w:fill="FFFFFF"/>
              <w:spacing w:after="0" w:line="240" w:lineRule="auto"/>
              <w:rPr>
                <w:rFonts w:eastAsia="Times New Roman" w:cs="Times New Roman"/>
                <w:color w:val="222222"/>
                <w:szCs w:val="24"/>
              </w:rPr>
            </w:pPr>
          </w:p>
          <w:p w14:paraId="7037D95E" w14:textId="77777777" w:rsidR="005A1E59" w:rsidRDefault="005A1E59" w:rsidP="00327F09">
            <w:pPr>
              <w:shd w:val="clear" w:color="auto" w:fill="FFFFFF"/>
              <w:spacing w:after="0" w:line="240" w:lineRule="auto"/>
              <w:rPr>
                <w:rFonts w:eastAsia="Times New Roman" w:cs="Times New Roman"/>
                <w:color w:val="222222"/>
                <w:szCs w:val="24"/>
              </w:rPr>
            </w:pPr>
          </w:p>
          <w:p w14:paraId="1560222B" w14:textId="77777777" w:rsidR="00327F09" w:rsidRPr="00AE307C" w:rsidRDefault="00327F09" w:rsidP="00327F09">
            <w:pPr>
              <w:shd w:val="clear" w:color="auto" w:fill="FFFFFF"/>
              <w:spacing w:after="0" w:line="240" w:lineRule="auto"/>
              <w:rPr>
                <w:rFonts w:eastAsia="Times New Roman" w:cs="Times New Roman"/>
                <w:i/>
                <w:iCs/>
                <w:color w:val="222222"/>
                <w:szCs w:val="24"/>
                <w:u w:val="single"/>
              </w:rPr>
            </w:pPr>
            <w:r w:rsidRPr="00AE307C">
              <w:rPr>
                <w:rFonts w:eastAsia="Times New Roman" w:cs="Times New Roman"/>
                <w:i/>
                <w:iCs/>
                <w:color w:val="222222"/>
                <w:szCs w:val="24"/>
                <w:u w:val="single"/>
              </w:rPr>
              <w:lastRenderedPageBreak/>
              <w:t xml:space="preserve">Objective 1: </w:t>
            </w:r>
            <w:r>
              <w:rPr>
                <w:rFonts w:eastAsia="Times New Roman" w:cs="Times New Roman"/>
                <w:i/>
                <w:iCs/>
                <w:color w:val="222222"/>
                <w:szCs w:val="24"/>
                <w:u w:val="single"/>
              </w:rPr>
              <w:t xml:space="preserve">Summarize water and air </w:t>
            </w:r>
            <w:r w:rsidRPr="00AE307C">
              <w:rPr>
                <w:rFonts w:eastAsia="Times New Roman" w:cs="Times New Roman"/>
                <w:i/>
                <w:iCs/>
                <w:color w:val="222222"/>
                <w:szCs w:val="24"/>
                <w:u w:val="single"/>
              </w:rPr>
              <w:t>temperatures</w:t>
            </w:r>
            <w:r>
              <w:rPr>
                <w:rFonts w:eastAsia="Times New Roman" w:cs="Times New Roman"/>
                <w:i/>
                <w:iCs/>
                <w:color w:val="222222"/>
                <w:szCs w:val="24"/>
                <w:u w:val="single"/>
              </w:rPr>
              <w:t xml:space="preserve"> from RMUs</w:t>
            </w:r>
          </w:p>
          <w:p w14:paraId="240B8F82"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We will summarize summer-fall water and air temperature data from several RMUs to determine test temperatures. One water temperature will be selected and used in all experiments. Air temperatures cannot be tightly controlled because experiments will be conducted outside. We will select 3 air temperature bands: </w:t>
            </w:r>
            <w:r w:rsidRPr="00A662E5">
              <w:rPr>
                <w:rFonts w:eastAsia="Times New Roman" w:cs="Times New Roman"/>
                <w:i/>
                <w:iCs/>
                <w:color w:val="222222"/>
                <w:szCs w:val="24"/>
                <w:u w:val="single"/>
              </w:rPr>
              <w:t>low</w:t>
            </w:r>
            <w:r>
              <w:rPr>
                <w:rFonts w:eastAsia="Times New Roman" w:cs="Times New Roman"/>
                <w:color w:val="222222"/>
                <w:szCs w:val="24"/>
              </w:rPr>
              <w:t xml:space="preserve"> (representing fall dewatering events), </w:t>
            </w:r>
            <w:r w:rsidRPr="00A662E5">
              <w:rPr>
                <w:rFonts w:eastAsia="Times New Roman" w:cs="Times New Roman"/>
                <w:i/>
                <w:iCs/>
                <w:color w:val="222222"/>
                <w:szCs w:val="24"/>
                <w:u w:val="single"/>
              </w:rPr>
              <w:t>medium</w:t>
            </w:r>
            <w:r>
              <w:rPr>
                <w:rFonts w:eastAsia="Times New Roman" w:cs="Times New Roman"/>
                <w:color w:val="222222"/>
                <w:szCs w:val="24"/>
              </w:rPr>
              <w:t xml:space="preserve"> (typical summer conditions) and </w:t>
            </w:r>
            <w:r w:rsidRPr="00A662E5">
              <w:rPr>
                <w:rFonts w:eastAsia="Times New Roman" w:cs="Times New Roman"/>
                <w:i/>
                <w:iCs/>
                <w:color w:val="222222"/>
                <w:szCs w:val="24"/>
                <w:u w:val="single"/>
              </w:rPr>
              <w:t>high</w:t>
            </w:r>
            <w:r>
              <w:rPr>
                <w:rFonts w:eastAsia="Times New Roman" w:cs="Times New Roman"/>
                <w:color w:val="222222"/>
                <w:szCs w:val="24"/>
              </w:rPr>
              <w:t xml:space="preserve"> (elevated summer temperatures). Summarizing temperatures from real-world conditions will increase the applicability of the experiments and the updated BMGs.</w:t>
            </w:r>
          </w:p>
          <w:p w14:paraId="6A8D376E"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4694628F" w14:textId="77777777" w:rsidR="00327F09" w:rsidRPr="00930C28" w:rsidRDefault="00327F09" w:rsidP="00327F09">
            <w:pPr>
              <w:shd w:val="clear" w:color="auto" w:fill="FFFFFF"/>
              <w:spacing w:after="0" w:line="240" w:lineRule="auto"/>
              <w:rPr>
                <w:rFonts w:eastAsia="Times New Roman" w:cs="Times New Roman"/>
                <w:i/>
                <w:iCs/>
                <w:color w:val="222222"/>
                <w:szCs w:val="24"/>
                <w:u w:val="single"/>
              </w:rPr>
            </w:pPr>
            <w:r w:rsidRPr="00930C28">
              <w:rPr>
                <w:rFonts w:eastAsia="Times New Roman" w:cs="Times New Roman"/>
                <w:i/>
                <w:iCs/>
                <w:color w:val="222222"/>
                <w:szCs w:val="24"/>
                <w:u w:val="single"/>
              </w:rPr>
              <w:t>Objective 2: Conduct experiments</w:t>
            </w:r>
          </w:p>
          <w:p w14:paraId="4595DB7F"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Experiments will be conducted in pairs, with an unshaded and a shaded experiment conducted together, for the same air temperature band (Table 1)</w:t>
            </w:r>
            <w:proofErr w:type="gramStart"/>
            <w:r>
              <w:rPr>
                <w:rFonts w:eastAsia="Times New Roman" w:cs="Times New Roman"/>
                <w:color w:val="222222"/>
                <w:szCs w:val="24"/>
              </w:rPr>
              <w:t xml:space="preserve">.  </w:t>
            </w:r>
            <w:proofErr w:type="gramEnd"/>
            <w:r>
              <w:rPr>
                <w:rFonts w:eastAsia="Times New Roman" w:cs="Times New Roman"/>
                <w:color w:val="222222"/>
                <w:szCs w:val="24"/>
              </w:rPr>
              <w:t xml:space="preserve">Lamprey (in a range of sizes) will be dewatered for 3, 6, or 9 hours and control groups will undergo the same exposure and handling but will not be dewatered. Each experiment will include 8 containers (8 lamprey/container). At each sample point (3, 6 or 9 h), 2 containers will be sampled. Treatment containers will be randomly positioned within a tank (dewatered) and controls (two containers, 8 lamprey/container) will be in an adjacent, watered tank (Figure 2). Control containers will be sampled with the 9 h treatment group. </w:t>
            </w:r>
          </w:p>
          <w:p w14:paraId="21125EEC"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58D037A9"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As temperatures and UV exposure change over the course of a day, we will randomly assign the 3 h and 6 h treatment groups to start/end within the 9 h exposure period. That is, the 3 h treatment may begin after 2 h of exposure and be sampled after 5 h of exposure. </w:t>
            </w:r>
          </w:p>
          <w:p w14:paraId="46F42383"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1F033F9E"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Lamprey in the treatment groups will not be provided sediment for burrowing. The experiments will therefore represent larvae that emerge from the sediment during dewatering and are exposed on the surface. Previous research demonstrated that lamprey that remain burrowed are more likely to survive </w:t>
            </w:r>
            <w:r>
              <w:rPr>
                <w:rFonts w:eastAsia="Times New Roman" w:cs="Times New Roman"/>
                <w:color w:val="222222"/>
                <w:szCs w:val="24"/>
              </w:rPr>
              <w:fldChar w:fldCharType="begin"/>
            </w:r>
            <w:r>
              <w:rPr>
                <w:rFonts w:eastAsia="Times New Roman" w:cs="Times New Roman"/>
                <w:color w:val="222222"/>
                <w:szCs w:val="24"/>
              </w:rPr>
              <w:instrText xml:space="preserve"> ADDIN ZOTERO_ITEM CSL_CITATION {"citationID":"OyzYuje7","properties":{"formattedCitation":"(Liedtke et al. 2015)","plainCitation":"(Liedtke et al. 2015)","noteIndex":0},"citationItems":[{"id":39,"uris":["http://zotero.org/users/7771372/items/E56C9HBR"],"uri":["http://zotero.org/users/7771372/items/E56C9HBR"],"itemData":{"id":39,"type":"article-journal","collection-title":"U.S. Geological Survey Open File Report","container-title":"USGS Open File Report","DOI":"http://dx.doi.org/10.3133/ofr20151157.","language":"en","page":"28 p.","source":"Zotero","title":"Vulnerability of Larval Lamprey to Columbia River Hydropower System Operations—Effects of Dewatering on Larval Lamprey Movements and Survival","volume":"2015-117","author":[{"family":"Liedtke","given":"Theresa L"},{"family":"Weiland","given":"Lisa K"},{"family":"Mesa","given":"Matthew G"}],"issued":{"date-parts":[["2015"]]}}}],"schema":"https://github.com/citation-style-language/schema/raw/master/csl-citation.json"} </w:instrText>
            </w:r>
            <w:r>
              <w:rPr>
                <w:rFonts w:eastAsia="Times New Roman" w:cs="Times New Roman"/>
                <w:color w:val="222222"/>
                <w:szCs w:val="24"/>
              </w:rPr>
              <w:fldChar w:fldCharType="separate"/>
            </w:r>
            <w:r w:rsidRPr="002A2501">
              <w:rPr>
                <w:rFonts w:cs="Times New Roman"/>
              </w:rPr>
              <w:t>(Liedtke et al. 2015)</w:t>
            </w:r>
            <w:r>
              <w:rPr>
                <w:rFonts w:eastAsia="Times New Roman" w:cs="Times New Roman"/>
                <w:color w:val="222222"/>
                <w:szCs w:val="24"/>
              </w:rPr>
              <w:fldChar w:fldCharType="end"/>
            </w:r>
            <w:r>
              <w:rPr>
                <w:rFonts w:eastAsia="Times New Roman" w:cs="Times New Roman"/>
                <w:color w:val="222222"/>
                <w:szCs w:val="24"/>
              </w:rPr>
              <w:t xml:space="preserve"> so our tests will reflect worst-case scenario for dewatered lamprey. The containers used to hold lamprey will be neutral colored, simulating a sandy substrate, to avoid excessive heat absorption. Control groups will have light-colored shallow sediment for burrowing</w:t>
            </w:r>
            <w:proofErr w:type="gramStart"/>
            <w:r>
              <w:rPr>
                <w:rFonts w:eastAsia="Times New Roman" w:cs="Times New Roman"/>
                <w:color w:val="222222"/>
                <w:szCs w:val="24"/>
              </w:rPr>
              <w:t xml:space="preserve">.  </w:t>
            </w:r>
            <w:proofErr w:type="gramEnd"/>
          </w:p>
          <w:p w14:paraId="5AAC60DF"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220D2800"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At each sample period we will evaluate survival and condition as determined by the time required to complete burrowing. Larval length and weight will be recorded before and after the experiment to evaluate changes due to desiccation. Larvae will be held for 24 h following the test to evaluate delayed mortality. </w:t>
            </w:r>
          </w:p>
          <w:p w14:paraId="6DC44B6F" w14:textId="77777777" w:rsidR="00327F09" w:rsidRDefault="00327F09" w:rsidP="00327F09">
            <w:pPr>
              <w:shd w:val="clear" w:color="auto" w:fill="FFFFFF"/>
              <w:spacing w:after="0" w:line="240" w:lineRule="auto"/>
              <w:ind w:left="1080"/>
              <w:rPr>
                <w:rFonts w:eastAsia="Times New Roman" w:cs="Times New Roman"/>
                <w:color w:val="222222"/>
                <w:szCs w:val="24"/>
              </w:rPr>
            </w:pPr>
          </w:p>
          <w:p w14:paraId="4589500B" w14:textId="77777777" w:rsidR="00327F09" w:rsidRPr="00921A5A" w:rsidRDefault="00327F09" w:rsidP="00327F09">
            <w:pPr>
              <w:shd w:val="clear" w:color="auto" w:fill="FFFFFF"/>
              <w:spacing w:after="0" w:line="240" w:lineRule="auto"/>
              <w:rPr>
                <w:rFonts w:eastAsia="Times New Roman" w:cs="Times New Roman"/>
                <w:i/>
                <w:iCs/>
                <w:color w:val="222222"/>
                <w:szCs w:val="24"/>
                <w:u w:val="single"/>
              </w:rPr>
            </w:pPr>
            <w:r w:rsidRPr="00921A5A">
              <w:rPr>
                <w:rFonts w:eastAsia="Times New Roman" w:cs="Times New Roman"/>
                <w:i/>
                <w:iCs/>
                <w:color w:val="222222"/>
                <w:szCs w:val="24"/>
                <w:u w:val="single"/>
              </w:rPr>
              <w:t>Objective 3: Summarize findings and update BMGs</w:t>
            </w:r>
          </w:p>
          <w:p w14:paraId="3FD08EC9" w14:textId="77777777" w:rsidR="00327F09" w:rsidRDefault="00327F09" w:rsidP="00327F09">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A logistic regression will be used to explore the influence of duration of exposure, air temperature, UV exposure, and lamprey size and make predictions about the risk of mortality. The goal is to make recommendations for the maximum air temperature under which dewatering can be accomplished with limited mortality and incorporate it into an updated BMG document (see Harris et al. 2020). </w:t>
            </w:r>
          </w:p>
          <w:p w14:paraId="3F02983A"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380FC456" w14:textId="77777777" w:rsidR="005A1E59" w:rsidRDefault="005A1E59" w:rsidP="00327F09">
            <w:pPr>
              <w:shd w:val="clear" w:color="auto" w:fill="FFFFFF"/>
              <w:spacing w:after="0" w:line="240" w:lineRule="auto"/>
              <w:rPr>
                <w:rFonts w:eastAsia="Times New Roman" w:cs="Times New Roman"/>
                <w:b/>
                <w:bCs/>
                <w:color w:val="222222"/>
                <w:szCs w:val="24"/>
              </w:rPr>
            </w:pPr>
          </w:p>
          <w:p w14:paraId="27F7368A" w14:textId="77777777" w:rsidR="005A1E59" w:rsidRDefault="005A1E59" w:rsidP="00327F09">
            <w:pPr>
              <w:shd w:val="clear" w:color="auto" w:fill="FFFFFF"/>
              <w:spacing w:after="0" w:line="240" w:lineRule="auto"/>
              <w:rPr>
                <w:rFonts w:eastAsia="Times New Roman" w:cs="Times New Roman"/>
                <w:b/>
                <w:bCs/>
                <w:color w:val="222222"/>
                <w:szCs w:val="24"/>
              </w:rPr>
            </w:pPr>
          </w:p>
          <w:p w14:paraId="19682C6C" w14:textId="77777777" w:rsidR="005A1E59" w:rsidRDefault="005A1E59" w:rsidP="00327F09">
            <w:pPr>
              <w:shd w:val="clear" w:color="auto" w:fill="FFFFFF"/>
              <w:spacing w:after="0" w:line="240" w:lineRule="auto"/>
              <w:rPr>
                <w:rFonts w:eastAsia="Times New Roman" w:cs="Times New Roman"/>
                <w:b/>
                <w:bCs/>
                <w:color w:val="222222"/>
                <w:szCs w:val="24"/>
              </w:rPr>
            </w:pPr>
          </w:p>
          <w:p w14:paraId="70C8B7A3" w14:textId="77777777" w:rsidR="005A1E59" w:rsidRDefault="005A1E59" w:rsidP="00327F09">
            <w:pPr>
              <w:shd w:val="clear" w:color="auto" w:fill="FFFFFF"/>
              <w:spacing w:after="0" w:line="240" w:lineRule="auto"/>
              <w:rPr>
                <w:rFonts w:eastAsia="Times New Roman" w:cs="Times New Roman"/>
                <w:b/>
                <w:bCs/>
                <w:color w:val="222222"/>
                <w:szCs w:val="24"/>
              </w:rPr>
            </w:pPr>
          </w:p>
          <w:p w14:paraId="02997F08" w14:textId="4C7CF4D0" w:rsidR="00327F09" w:rsidRPr="00C2282F" w:rsidRDefault="00327F09" w:rsidP="00327F09">
            <w:pPr>
              <w:shd w:val="clear" w:color="auto" w:fill="FFFFFF"/>
              <w:spacing w:after="0" w:line="240" w:lineRule="auto"/>
              <w:rPr>
                <w:rFonts w:eastAsia="Times New Roman" w:cs="Times New Roman"/>
                <w:color w:val="222222"/>
              </w:rPr>
            </w:pPr>
            <w:r w:rsidRPr="00087A35">
              <w:rPr>
                <w:rFonts w:eastAsia="Times New Roman" w:cs="Times New Roman"/>
                <w:b/>
                <w:bCs/>
                <w:color w:val="222222"/>
                <w:szCs w:val="24"/>
              </w:rPr>
              <w:lastRenderedPageBreak/>
              <w:t>Table 1.</w:t>
            </w:r>
            <w:r>
              <w:rPr>
                <w:rFonts w:eastAsia="Times New Roman" w:cs="Times New Roman"/>
                <w:color w:val="222222"/>
                <w:szCs w:val="24"/>
              </w:rPr>
              <w:t xml:space="preserve"> – </w:t>
            </w:r>
            <w:r w:rsidRPr="00C2282F">
              <w:rPr>
                <w:rFonts w:eastAsia="Times New Roman" w:cs="Times New Roman"/>
                <w:color w:val="222222"/>
              </w:rPr>
              <w:t xml:space="preserve">Six paired experiments to test lamprey response to air temperature and UV </w:t>
            </w:r>
          </w:p>
          <w:p w14:paraId="55AAF84C" w14:textId="77777777" w:rsidR="00327F09" w:rsidRPr="00C2282F" w:rsidRDefault="00327F09" w:rsidP="00327F09">
            <w:pPr>
              <w:shd w:val="clear" w:color="auto" w:fill="FFFFFF"/>
              <w:spacing w:after="0" w:line="240" w:lineRule="auto"/>
              <w:rPr>
                <w:rFonts w:eastAsia="Times New Roman" w:cs="Times New Roman"/>
                <w:color w:val="222222"/>
              </w:rPr>
            </w:pPr>
            <w:r w:rsidRPr="00C2282F">
              <w:rPr>
                <w:rFonts w:eastAsia="Times New Roman" w:cs="Times New Roman"/>
                <w:color w:val="222222"/>
              </w:rPr>
              <w:t xml:space="preserve">exposure during dewatering. There will be three treatment sample times (3, 6, and 9 h </w:t>
            </w:r>
          </w:p>
          <w:p w14:paraId="12740CC1" w14:textId="3E6CAAD0" w:rsidR="00327F09" w:rsidRPr="00C2282F" w:rsidRDefault="00327F09" w:rsidP="00327F09">
            <w:pPr>
              <w:shd w:val="clear" w:color="auto" w:fill="FFFFFF"/>
              <w:spacing w:after="0" w:line="240" w:lineRule="auto"/>
              <w:rPr>
                <w:rFonts w:eastAsia="Times New Roman" w:cs="Times New Roman"/>
                <w:color w:val="222222"/>
              </w:rPr>
            </w:pPr>
            <w:r w:rsidRPr="00C2282F">
              <w:rPr>
                <w:rFonts w:eastAsia="Times New Roman" w:cs="Times New Roman"/>
                <w:color w:val="222222"/>
              </w:rPr>
              <w:t xml:space="preserve">of exposure), and each sample time will include 16 </w:t>
            </w:r>
            <w:proofErr w:type="gramStart"/>
            <w:r w:rsidRPr="00C2282F">
              <w:rPr>
                <w:rFonts w:eastAsia="Times New Roman" w:cs="Times New Roman"/>
                <w:color w:val="222222"/>
              </w:rPr>
              <w:t>lamprey</w:t>
            </w:r>
            <w:proofErr w:type="gramEnd"/>
            <w:r w:rsidRPr="00C2282F">
              <w:rPr>
                <w:rFonts w:eastAsia="Times New Roman" w:cs="Times New Roman"/>
                <w:color w:val="222222"/>
              </w:rPr>
              <w:t xml:space="preserve">. Controls will not be dewatered, will be sampled with the 9 h treatment group and will include 16 </w:t>
            </w:r>
            <w:proofErr w:type="gramStart"/>
            <w:r w:rsidRPr="00C2282F">
              <w:rPr>
                <w:rFonts w:eastAsia="Times New Roman" w:cs="Times New Roman"/>
                <w:color w:val="222222"/>
              </w:rPr>
              <w:t>lamprey</w:t>
            </w:r>
            <w:proofErr w:type="gramEnd"/>
            <w:r w:rsidRPr="00C2282F">
              <w:rPr>
                <w:rFonts w:eastAsia="Times New Roman" w:cs="Times New Roman"/>
                <w:color w:val="222222"/>
              </w:rPr>
              <w:t xml:space="preserve">.  </w:t>
            </w:r>
          </w:p>
          <w:p w14:paraId="091A0496" w14:textId="77777777" w:rsidR="00327F09" w:rsidRDefault="00327F09" w:rsidP="00327F09">
            <w:pPr>
              <w:shd w:val="clear" w:color="auto" w:fill="FFFFFF"/>
              <w:spacing w:after="0" w:line="240" w:lineRule="auto"/>
              <w:ind w:left="720"/>
              <w:rPr>
                <w:rFonts w:eastAsia="Times New Roman" w:cs="Times New Roman"/>
                <w:color w:val="222222"/>
                <w:szCs w:val="24"/>
              </w:rPr>
            </w:pPr>
          </w:p>
          <w:tbl>
            <w:tblPr>
              <w:tblStyle w:val="GridTable4-Accent11"/>
              <w:tblW w:w="0" w:type="auto"/>
              <w:tblInd w:w="1505" w:type="dxa"/>
              <w:tblLook w:val="04A0" w:firstRow="1" w:lastRow="0" w:firstColumn="1" w:lastColumn="0" w:noHBand="0" w:noVBand="1"/>
            </w:tblPr>
            <w:tblGrid>
              <w:gridCol w:w="1539"/>
              <w:gridCol w:w="1229"/>
              <w:gridCol w:w="1183"/>
              <w:gridCol w:w="1104"/>
            </w:tblGrid>
            <w:tr w:rsidR="00327F09" w:rsidRPr="00A662E5" w14:paraId="66F45C86" w14:textId="77777777" w:rsidTr="00327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462E9202" w14:textId="77777777" w:rsidR="00327F09" w:rsidRPr="00A662E5" w:rsidRDefault="00327F09" w:rsidP="00327F09">
                  <w:pPr>
                    <w:jc w:val="center"/>
                    <w:rPr>
                      <w:rFonts w:ascii="Calibri" w:eastAsia="Calibri" w:hAnsi="Calibri" w:cs="Times New Roman"/>
                    </w:rPr>
                  </w:pPr>
                  <w:r w:rsidRPr="00A662E5">
                    <w:rPr>
                      <w:rFonts w:ascii="Calibri" w:eastAsia="Calibri" w:hAnsi="Calibri" w:cs="Times New Roman"/>
                    </w:rPr>
                    <w:t xml:space="preserve">Air Temperature </w:t>
                  </w:r>
                  <w:r>
                    <w:rPr>
                      <w:rFonts w:ascii="Calibri" w:eastAsia="Calibri" w:hAnsi="Calibri" w:cs="Times New Roman"/>
                    </w:rPr>
                    <w:t>Band</w:t>
                  </w:r>
                </w:p>
              </w:tc>
              <w:tc>
                <w:tcPr>
                  <w:tcW w:w="1229" w:type="dxa"/>
                </w:tcPr>
                <w:p w14:paraId="03A43451" w14:textId="77777777" w:rsidR="00327F09" w:rsidRPr="00A662E5" w:rsidRDefault="00327F09" w:rsidP="00327F0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p w14:paraId="4D77B5E1" w14:textId="77777777" w:rsidR="00327F09" w:rsidRPr="00A662E5" w:rsidRDefault="00327F09" w:rsidP="00327F0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 xml:space="preserve">UV </w:t>
                  </w:r>
                  <w:r>
                    <w:rPr>
                      <w:rFonts w:ascii="Calibri" w:eastAsia="Calibri" w:hAnsi="Calibri" w:cs="Times New Roman"/>
                    </w:rPr>
                    <w:t>Exposure</w:t>
                  </w:r>
                </w:p>
              </w:tc>
              <w:tc>
                <w:tcPr>
                  <w:tcW w:w="1183" w:type="dxa"/>
                </w:tcPr>
                <w:p w14:paraId="04896A42" w14:textId="77777777" w:rsidR="00327F09" w:rsidRPr="00A662E5" w:rsidRDefault="00327F09" w:rsidP="00327F0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 xml:space="preserve"># </w:t>
                  </w:r>
                  <w:proofErr w:type="gramStart"/>
                  <w:r w:rsidRPr="00A662E5">
                    <w:rPr>
                      <w:rFonts w:ascii="Calibri" w:eastAsia="Calibri" w:hAnsi="Calibri" w:cs="Times New Roman"/>
                    </w:rPr>
                    <w:t>lamprey</w:t>
                  </w:r>
                  <w:proofErr w:type="gramEnd"/>
                  <w:r w:rsidRPr="00A662E5">
                    <w:rPr>
                      <w:rFonts w:ascii="Calibri" w:eastAsia="Calibri" w:hAnsi="Calibri" w:cs="Times New Roman"/>
                    </w:rPr>
                    <w:t xml:space="preserve"> Treatment</w:t>
                  </w:r>
                </w:p>
              </w:tc>
              <w:tc>
                <w:tcPr>
                  <w:tcW w:w="1104" w:type="dxa"/>
                </w:tcPr>
                <w:p w14:paraId="26BE2093" w14:textId="77777777" w:rsidR="00327F09" w:rsidRPr="00A662E5" w:rsidRDefault="00327F09" w:rsidP="00327F0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 xml:space="preserve"># </w:t>
                  </w:r>
                  <w:proofErr w:type="gramStart"/>
                  <w:r w:rsidRPr="00A662E5">
                    <w:rPr>
                      <w:rFonts w:ascii="Calibri" w:eastAsia="Calibri" w:hAnsi="Calibri" w:cs="Times New Roman"/>
                    </w:rPr>
                    <w:t>lamprey</w:t>
                  </w:r>
                  <w:proofErr w:type="gramEnd"/>
                  <w:r w:rsidRPr="00A662E5">
                    <w:rPr>
                      <w:rFonts w:ascii="Calibri" w:eastAsia="Calibri" w:hAnsi="Calibri" w:cs="Times New Roman"/>
                    </w:rPr>
                    <w:t xml:space="preserve"> Controls</w:t>
                  </w:r>
                </w:p>
              </w:tc>
            </w:tr>
            <w:tr w:rsidR="00327F09" w:rsidRPr="00A662E5" w14:paraId="3F091353" w14:textId="77777777" w:rsidTr="0032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478E7891" w14:textId="77777777" w:rsidR="00327F09" w:rsidRPr="00A662E5" w:rsidRDefault="00327F09" w:rsidP="00327F09">
                  <w:pPr>
                    <w:rPr>
                      <w:rFonts w:ascii="Calibri" w:eastAsia="Calibri" w:hAnsi="Calibri" w:cs="Times New Roman"/>
                    </w:rPr>
                  </w:pPr>
                  <w:r w:rsidRPr="00A662E5">
                    <w:rPr>
                      <w:rFonts w:ascii="Calibri" w:eastAsia="Calibri" w:hAnsi="Calibri" w:cs="Times New Roman"/>
                    </w:rPr>
                    <w:t xml:space="preserve">        Low</w:t>
                  </w:r>
                </w:p>
              </w:tc>
              <w:tc>
                <w:tcPr>
                  <w:tcW w:w="1229" w:type="dxa"/>
                </w:tcPr>
                <w:p w14:paraId="3FB41E21" w14:textId="77777777" w:rsidR="00327F09" w:rsidRPr="00A662E5" w:rsidRDefault="00327F09" w:rsidP="00327F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Unshaded</w:t>
                  </w:r>
                </w:p>
              </w:tc>
              <w:tc>
                <w:tcPr>
                  <w:tcW w:w="1183" w:type="dxa"/>
                </w:tcPr>
                <w:p w14:paraId="7BF4AE74"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74D58981"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r w:rsidR="00327F09" w:rsidRPr="00A662E5" w14:paraId="0328E489" w14:textId="77777777" w:rsidTr="00327F09">
              <w:tc>
                <w:tcPr>
                  <w:cnfStyle w:val="001000000000" w:firstRow="0" w:lastRow="0" w:firstColumn="1" w:lastColumn="0" w:oddVBand="0" w:evenVBand="0" w:oddHBand="0" w:evenHBand="0" w:firstRowFirstColumn="0" w:firstRowLastColumn="0" w:lastRowFirstColumn="0" w:lastRowLastColumn="0"/>
                  <w:tcW w:w="1539" w:type="dxa"/>
                </w:tcPr>
                <w:p w14:paraId="5A371B90" w14:textId="77777777" w:rsidR="00327F09" w:rsidRPr="00A662E5" w:rsidRDefault="00327F09" w:rsidP="00327F09">
                  <w:pPr>
                    <w:rPr>
                      <w:rFonts w:ascii="Calibri" w:eastAsia="Calibri" w:hAnsi="Calibri" w:cs="Times New Roman"/>
                    </w:rPr>
                  </w:pPr>
                  <w:r w:rsidRPr="00A662E5">
                    <w:rPr>
                      <w:rFonts w:ascii="Calibri" w:eastAsia="Calibri" w:hAnsi="Calibri" w:cs="Times New Roman"/>
                    </w:rPr>
                    <w:t xml:space="preserve">        Low</w:t>
                  </w:r>
                </w:p>
              </w:tc>
              <w:tc>
                <w:tcPr>
                  <w:tcW w:w="1229" w:type="dxa"/>
                </w:tcPr>
                <w:p w14:paraId="0F2936F0" w14:textId="77777777" w:rsidR="00327F09" w:rsidRPr="00A662E5" w:rsidRDefault="00327F09" w:rsidP="00327F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 xml:space="preserve">Shaded </w:t>
                  </w:r>
                </w:p>
              </w:tc>
              <w:tc>
                <w:tcPr>
                  <w:tcW w:w="1183" w:type="dxa"/>
                </w:tcPr>
                <w:p w14:paraId="3B2D3D93"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51A00692"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r w:rsidR="00327F09" w:rsidRPr="00A662E5" w14:paraId="16749D2B" w14:textId="77777777" w:rsidTr="0032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52D418E9" w14:textId="77777777" w:rsidR="00327F09" w:rsidRPr="00A662E5" w:rsidRDefault="00327F09" w:rsidP="00327F09">
                  <w:pPr>
                    <w:jc w:val="center"/>
                    <w:rPr>
                      <w:rFonts w:ascii="Calibri" w:eastAsia="Calibri" w:hAnsi="Calibri" w:cs="Times New Roman"/>
                    </w:rPr>
                  </w:pPr>
                  <w:r w:rsidRPr="00A662E5">
                    <w:rPr>
                      <w:rFonts w:ascii="Calibri" w:eastAsia="Calibri" w:hAnsi="Calibri" w:cs="Times New Roman"/>
                    </w:rPr>
                    <w:t>Medium</w:t>
                  </w:r>
                </w:p>
              </w:tc>
              <w:tc>
                <w:tcPr>
                  <w:tcW w:w="1229" w:type="dxa"/>
                </w:tcPr>
                <w:p w14:paraId="2DCC84E1" w14:textId="77777777" w:rsidR="00327F09" w:rsidRPr="00A662E5" w:rsidRDefault="00327F09" w:rsidP="00327F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Unshaded</w:t>
                  </w:r>
                </w:p>
              </w:tc>
              <w:tc>
                <w:tcPr>
                  <w:tcW w:w="1183" w:type="dxa"/>
                </w:tcPr>
                <w:p w14:paraId="1A127B3D"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520EA249"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r w:rsidR="00327F09" w:rsidRPr="00A662E5" w14:paraId="3C3A973C" w14:textId="77777777" w:rsidTr="00327F09">
              <w:tc>
                <w:tcPr>
                  <w:cnfStyle w:val="001000000000" w:firstRow="0" w:lastRow="0" w:firstColumn="1" w:lastColumn="0" w:oddVBand="0" w:evenVBand="0" w:oddHBand="0" w:evenHBand="0" w:firstRowFirstColumn="0" w:firstRowLastColumn="0" w:lastRowFirstColumn="0" w:lastRowLastColumn="0"/>
                  <w:tcW w:w="1539" w:type="dxa"/>
                </w:tcPr>
                <w:p w14:paraId="12BE3B83" w14:textId="77777777" w:rsidR="00327F09" w:rsidRPr="00A662E5" w:rsidRDefault="00327F09" w:rsidP="00327F09">
                  <w:pPr>
                    <w:jc w:val="center"/>
                    <w:rPr>
                      <w:rFonts w:ascii="Calibri" w:eastAsia="Calibri" w:hAnsi="Calibri" w:cs="Times New Roman"/>
                    </w:rPr>
                  </w:pPr>
                  <w:r w:rsidRPr="00A662E5">
                    <w:rPr>
                      <w:rFonts w:ascii="Calibri" w:eastAsia="Calibri" w:hAnsi="Calibri" w:cs="Times New Roman"/>
                    </w:rPr>
                    <w:t>Medium</w:t>
                  </w:r>
                </w:p>
              </w:tc>
              <w:tc>
                <w:tcPr>
                  <w:tcW w:w="1229" w:type="dxa"/>
                </w:tcPr>
                <w:p w14:paraId="26FDCF9B" w14:textId="77777777" w:rsidR="00327F09" w:rsidRPr="00A662E5" w:rsidRDefault="00327F09" w:rsidP="00327F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Shaded</w:t>
                  </w:r>
                </w:p>
              </w:tc>
              <w:tc>
                <w:tcPr>
                  <w:tcW w:w="1183" w:type="dxa"/>
                </w:tcPr>
                <w:p w14:paraId="72123DEE"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40DEBE62"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r w:rsidR="00327F09" w:rsidRPr="00A662E5" w14:paraId="3A42EAE3" w14:textId="77777777" w:rsidTr="0032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2EC8A646" w14:textId="77777777" w:rsidR="00327F09" w:rsidRPr="00A662E5" w:rsidRDefault="00327F09" w:rsidP="00327F09">
                  <w:pPr>
                    <w:rPr>
                      <w:rFonts w:ascii="Calibri" w:eastAsia="Calibri" w:hAnsi="Calibri" w:cs="Times New Roman"/>
                    </w:rPr>
                  </w:pPr>
                  <w:r w:rsidRPr="00A662E5">
                    <w:rPr>
                      <w:rFonts w:ascii="Calibri" w:eastAsia="Calibri" w:hAnsi="Calibri" w:cs="Times New Roman"/>
                    </w:rPr>
                    <w:t xml:space="preserve">        High</w:t>
                  </w:r>
                </w:p>
              </w:tc>
              <w:tc>
                <w:tcPr>
                  <w:tcW w:w="1229" w:type="dxa"/>
                </w:tcPr>
                <w:p w14:paraId="629F9E39" w14:textId="77777777" w:rsidR="00327F09" w:rsidRPr="00A662E5" w:rsidRDefault="00327F09" w:rsidP="00327F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Unshaded</w:t>
                  </w:r>
                </w:p>
              </w:tc>
              <w:tc>
                <w:tcPr>
                  <w:tcW w:w="1183" w:type="dxa"/>
                </w:tcPr>
                <w:p w14:paraId="2085E5E6"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4BD15F54" w14:textId="77777777" w:rsidR="00327F09" w:rsidRPr="00A662E5" w:rsidRDefault="00327F09" w:rsidP="00327F0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r w:rsidR="00327F09" w:rsidRPr="00A662E5" w14:paraId="05C48BD4" w14:textId="77777777" w:rsidTr="00327F09">
              <w:tc>
                <w:tcPr>
                  <w:cnfStyle w:val="001000000000" w:firstRow="0" w:lastRow="0" w:firstColumn="1" w:lastColumn="0" w:oddVBand="0" w:evenVBand="0" w:oddHBand="0" w:evenHBand="0" w:firstRowFirstColumn="0" w:firstRowLastColumn="0" w:lastRowFirstColumn="0" w:lastRowLastColumn="0"/>
                  <w:tcW w:w="1539" w:type="dxa"/>
                </w:tcPr>
                <w:p w14:paraId="3439EA58" w14:textId="77777777" w:rsidR="00327F09" w:rsidRPr="00A662E5" w:rsidRDefault="00327F09" w:rsidP="00327F09">
                  <w:pPr>
                    <w:rPr>
                      <w:rFonts w:ascii="Calibri" w:eastAsia="Calibri" w:hAnsi="Calibri" w:cs="Times New Roman"/>
                    </w:rPr>
                  </w:pPr>
                  <w:r w:rsidRPr="00A662E5">
                    <w:rPr>
                      <w:rFonts w:ascii="Calibri" w:eastAsia="Calibri" w:hAnsi="Calibri" w:cs="Times New Roman"/>
                    </w:rPr>
                    <w:t xml:space="preserve">        High</w:t>
                  </w:r>
                </w:p>
              </w:tc>
              <w:tc>
                <w:tcPr>
                  <w:tcW w:w="1229" w:type="dxa"/>
                </w:tcPr>
                <w:p w14:paraId="2CE010AE" w14:textId="77777777" w:rsidR="00327F09" w:rsidRPr="00A662E5" w:rsidRDefault="00327F09" w:rsidP="00327F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Shaded</w:t>
                  </w:r>
                </w:p>
              </w:tc>
              <w:tc>
                <w:tcPr>
                  <w:tcW w:w="1183" w:type="dxa"/>
                </w:tcPr>
                <w:p w14:paraId="2AECAD77"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48</w:t>
                  </w:r>
                </w:p>
              </w:tc>
              <w:tc>
                <w:tcPr>
                  <w:tcW w:w="1104" w:type="dxa"/>
                </w:tcPr>
                <w:p w14:paraId="54C7884B" w14:textId="77777777" w:rsidR="00327F09" w:rsidRPr="00A662E5" w:rsidRDefault="00327F09" w:rsidP="00327F0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662E5">
                    <w:rPr>
                      <w:rFonts w:ascii="Calibri" w:eastAsia="Calibri" w:hAnsi="Calibri" w:cs="Times New Roman"/>
                    </w:rPr>
                    <w:t>16</w:t>
                  </w:r>
                </w:p>
              </w:tc>
            </w:tr>
          </w:tbl>
          <w:p w14:paraId="6034EAAD" w14:textId="77777777" w:rsidR="00327F09" w:rsidRDefault="00327F09" w:rsidP="00327F09">
            <w:pPr>
              <w:shd w:val="clear" w:color="auto" w:fill="FFFFFF"/>
              <w:spacing w:after="0" w:line="240" w:lineRule="auto"/>
              <w:ind w:left="720"/>
              <w:rPr>
                <w:rFonts w:eastAsia="Times New Roman" w:cs="Times New Roman"/>
                <w:color w:val="222222"/>
                <w:szCs w:val="24"/>
              </w:rPr>
            </w:pPr>
          </w:p>
          <w:p w14:paraId="721F63A4" w14:textId="77777777" w:rsidR="00327F09" w:rsidRDefault="00327F09" w:rsidP="00327F09">
            <w:pPr>
              <w:pStyle w:val="ListParagraph"/>
              <w:ind w:left="1080"/>
              <w:rPr>
                <w:b/>
                <w:i/>
              </w:rPr>
            </w:pPr>
          </w:p>
          <w:p w14:paraId="15947CBF" w14:textId="77777777" w:rsidR="00327F09" w:rsidRDefault="00327F09" w:rsidP="00327F09">
            <w:pPr>
              <w:spacing w:after="0" w:line="240" w:lineRule="auto"/>
              <w:rPr>
                <w:bCs/>
                <w:iCs/>
              </w:rPr>
            </w:pPr>
          </w:p>
          <w:p w14:paraId="68550CD0" w14:textId="57619B45" w:rsidR="00327F09" w:rsidRDefault="00327F09" w:rsidP="00327F09">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568E9961" wp14:editId="379F0CFC">
                  <wp:extent cx="3950335" cy="2889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335" cy="2889885"/>
                          </a:xfrm>
                          <a:prstGeom prst="rect">
                            <a:avLst/>
                          </a:prstGeom>
                          <a:noFill/>
                        </pic:spPr>
                      </pic:pic>
                    </a:graphicData>
                  </a:graphic>
                </wp:inline>
              </w:drawing>
            </w:r>
          </w:p>
          <w:p w14:paraId="316559F0" w14:textId="7A12B063" w:rsidR="00327F09" w:rsidRDefault="00327F09" w:rsidP="00327F09">
            <w:pPr>
              <w:spacing w:after="0" w:line="240" w:lineRule="auto"/>
              <w:rPr>
                <w:rFonts w:ascii="Calibri" w:eastAsia="Times New Roman" w:hAnsi="Calibri" w:cs="Calibri"/>
                <w:color w:val="000000"/>
              </w:rPr>
            </w:pPr>
          </w:p>
          <w:p w14:paraId="3982B578" w14:textId="77777777" w:rsidR="00327F09" w:rsidRDefault="00327F09" w:rsidP="00327F09">
            <w:pPr>
              <w:spacing w:after="0" w:line="240" w:lineRule="auto"/>
              <w:rPr>
                <w:rFonts w:ascii="Calibri" w:eastAsia="Times New Roman" w:hAnsi="Calibri" w:cs="Calibri"/>
                <w:color w:val="000000"/>
              </w:rPr>
            </w:pPr>
          </w:p>
          <w:p w14:paraId="42881A99" w14:textId="77777777" w:rsidR="00327F09" w:rsidRPr="00C2282F" w:rsidRDefault="00327F09" w:rsidP="00327F09">
            <w:pPr>
              <w:shd w:val="clear" w:color="auto" w:fill="FFFFFF"/>
              <w:spacing w:after="0" w:line="240" w:lineRule="auto"/>
              <w:rPr>
                <w:noProof/>
              </w:rPr>
            </w:pPr>
            <w:r w:rsidRPr="00087A35">
              <w:rPr>
                <w:b/>
                <w:bCs/>
                <w:noProof/>
              </w:rPr>
              <w:t xml:space="preserve">Figure </w:t>
            </w:r>
            <w:r>
              <w:rPr>
                <w:b/>
                <w:bCs/>
                <w:noProof/>
              </w:rPr>
              <w:t>2</w:t>
            </w:r>
            <w:r w:rsidRPr="00087A35">
              <w:rPr>
                <w:b/>
                <w:bCs/>
                <w:noProof/>
              </w:rPr>
              <w:t>.</w:t>
            </w:r>
            <w:r>
              <w:rPr>
                <w:noProof/>
              </w:rPr>
              <w:t xml:space="preserve"> – </w:t>
            </w:r>
            <w:r w:rsidRPr="00C2282F">
              <w:rPr>
                <w:noProof/>
              </w:rPr>
              <w:t>Schematic showing paired unshaded and shaded experiments</w:t>
            </w:r>
          </w:p>
          <w:p w14:paraId="7A712F14" w14:textId="640FD2CA" w:rsidR="00327F09" w:rsidRPr="00C2282F" w:rsidRDefault="00327F09" w:rsidP="00327F09">
            <w:pPr>
              <w:shd w:val="clear" w:color="auto" w:fill="FFFFFF"/>
              <w:spacing w:after="0" w:line="240" w:lineRule="auto"/>
              <w:rPr>
                <w:noProof/>
              </w:rPr>
            </w:pPr>
            <w:r w:rsidRPr="00C2282F">
              <w:rPr>
                <w:noProof/>
              </w:rPr>
              <w:t>to assess lamprey survival over time at one air temperature band. Treatment groups</w:t>
            </w:r>
          </w:p>
          <w:p w14:paraId="632807C0" w14:textId="2F40D6B1" w:rsidR="00327F09" w:rsidRPr="00C2282F" w:rsidRDefault="00327F09" w:rsidP="00327F09">
            <w:pPr>
              <w:shd w:val="clear" w:color="auto" w:fill="FFFFFF"/>
              <w:spacing w:after="0" w:line="240" w:lineRule="auto"/>
              <w:rPr>
                <w:noProof/>
              </w:rPr>
            </w:pPr>
            <w:r w:rsidRPr="00C2282F">
              <w:rPr>
                <w:noProof/>
              </w:rPr>
              <w:t>(left boxes) will be dewatered and sampled after 3 h, 6 h, and 9 h of expsoure and</w:t>
            </w:r>
          </w:p>
          <w:p w14:paraId="11BE49C3" w14:textId="6E3DC9DC" w:rsidR="00327F09" w:rsidRPr="00C2282F" w:rsidRDefault="00327F09" w:rsidP="00327F09">
            <w:pPr>
              <w:shd w:val="clear" w:color="auto" w:fill="FFFFFF"/>
              <w:spacing w:after="0" w:line="240" w:lineRule="auto"/>
              <w:rPr>
                <w:noProof/>
              </w:rPr>
            </w:pPr>
            <w:r w:rsidRPr="00C2282F">
              <w:rPr>
                <w:noProof/>
              </w:rPr>
              <w:t xml:space="preserve">Controld groups (right boxes) will not be dewatered and will be sampled with the </w:t>
            </w:r>
          </w:p>
          <w:p w14:paraId="4C207EBA" w14:textId="77777777" w:rsidR="00327F09" w:rsidRDefault="00327F09" w:rsidP="00327F09">
            <w:pPr>
              <w:shd w:val="clear" w:color="auto" w:fill="FFFFFF"/>
              <w:spacing w:after="0" w:line="240" w:lineRule="auto"/>
              <w:rPr>
                <w:noProof/>
              </w:rPr>
            </w:pPr>
            <w:r w:rsidRPr="00C2282F">
              <w:rPr>
                <w:noProof/>
              </w:rPr>
              <w:t>9</w:t>
            </w:r>
            <w:r>
              <w:rPr>
                <w:noProof/>
              </w:rPr>
              <w:t xml:space="preserve"> </w:t>
            </w:r>
            <w:r w:rsidRPr="00C2282F">
              <w:rPr>
                <w:noProof/>
              </w:rPr>
              <w:t>h expsoure groups. Each circle represents a</w:t>
            </w:r>
            <w:r>
              <w:rPr>
                <w:noProof/>
              </w:rPr>
              <w:t xml:space="preserve"> light-colored plastic </w:t>
            </w:r>
            <w:r w:rsidRPr="00C2282F">
              <w:rPr>
                <w:noProof/>
              </w:rPr>
              <w:t xml:space="preserve">container that will </w:t>
            </w:r>
          </w:p>
          <w:p w14:paraId="15AA8AF4" w14:textId="77777777" w:rsidR="00327F09" w:rsidRDefault="00327F09" w:rsidP="00327F09">
            <w:pPr>
              <w:shd w:val="clear" w:color="auto" w:fill="FFFFFF"/>
              <w:spacing w:after="0" w:line="240" w:lineRule="auto"/>
              <w:rPr>
                <w:noProof/>
              </w:rPr>
            </w:pPr>
            <w:r w:rsidRPr="00C2282F">
              <w:rPr>
                <w:noProof/>
              </w:rPr>
              <w:t>hold 8 lamprey</w:t>
            </w:r>
            <w:r>
              <w:rPr>
                <w:noProof/>
              </w:rPr>
              <w:t xml:space="preserve">. </w:t>
            </w:r>
          </w:p>
          <w:p w14:paraId="3CA8810E" w14:textId="5F39CD84" w:rsidR="00327F09" w:rsidRDefault="00327F09" w:rsidP="00327F09">
            <w:pPr>
              <w:spacing w:after="0" w:line="240" w:lineRule="auto"/>
              <w:rPr>
                <w:rFonts w:ascii="Calibri" w:eastAsia="Times New Roman" w:hAnsi="Calibri" w:cs="Calibri"/>
                <w:color w:val="000000"/>
              </w:rPr>
            </w:pPr>
          </w:p>
          <w:p w14:paraId="478E30F9" w14:textId="34F98923" w:rsidR="005A1E59" w:rsidRDefault="005A1E59" w:rsidP="00327F09">
            <w:pPr>
              <w:spacing w:after="0" w:line="240" w:lineRule="auto"/>
              <w:rPr>
                <w:rFonts w:ascii="Calibri" w:eastAsia="Times New Roman" w:hAnsi="Calibri" w:cs="Calibri"/>
                <w:color w:val="000000"/>
              </w:rPr>
            </w:pPr>
          </w:p>
          <w:p w14:paraId="640EE4E5" w14:textId="2A701596" w:rsidR="005A1E59" w:rsidRDefault="005A1E59" w:rsidP="00327F09">
            <w:pPr>
              <w:spacing w:after="0" w:line="240" w:lineRule="auto"/>
              <w:rPr>
                <w:rFonts w:ascii="Calibri" w:eastAsia="Times New Roman" w:hAnsi="Calibri" w:cs="Calibri"/>
                <w:color w:val="000000"/>
              </w:rPr>
            </w:pPr>
          </w:p>
          <w:p w14:paraId="28F8E0A7" w14:textId="77777777" w:rsidR="005A1E59" w:rsidRDefault="005A1E59" w:rsidP="00327F09">
            <w:pPr>
              <w:spacing w:after="0" w:line="240" w:lineRule="auto"/>
              <w:rPr>
                <w:rFonts w:ascii="Calibri" w:eastAsia="Times New Roman" w:hAnsi="Calibri" w:cs="Calibri"/>
                <w:color w:val="000000"/>
              </w:rPr>
            </w:pPr>
          </w:p>
          <w:p w14:paraId="27F831D1" w14:textId="77777777" w:rsidR="005A1E59" w:rsidRPr="005A1E59" w:rsidRDefault="005A1E59" w:rsidP="005A1E59">
            <w:pPr>
              <w:rPr>
                <w:b/>
                <w:i/>
              </w:rPr>
            </w:pPr>
            <w:r w:rsidRPr="005A1E59">
              <w:rPr>
                <w:b/>
                <w:i/>
              </w:rPr>
              <w:lastRenderedPageBreak/>
              <w:t>References:</w:t>
            </w:r>
          </w:p>
          <w:p w14:paraId="779BE205" w14:textId="77777777" w:rsidR="005A1E59" w:rsidRDefault="005A1E59" w:rsidP="005A1E59">
            <w:pPr>
              <w:autoSpaceDE w:val="0"/>
              <w:autoSpaceDN w:val="0"/>
              <w:adjustRightInd w:val="0"/>
              <w:spacing w:after="0" w:line="240" w:lineRule="auto"/>
              <w:rPr>
                <w:rFonts w:cs="Times New Roman"/>
                <w:color w:val="000000"/>
              </w:rPr>
            </w:pPr>
            <w:r w:rsidRPr="00D9446E">
              <w:rPr>
                <w:rFonts w:cs="Times New Roman"/>
                <w:color w:val="000000"/>
              </w:rPr>
              <w:t>Lamprey Technical Workgroup. 2020. Best management guidelines for native lampreys during</w:t>
            </w:r>
            <w:r>
              <w:rPr>
                <w:rFonts w:cs="Times New Roman"/>
                <w:color w:val="000000"/>
              </w:rPr>
              <w:t xml:space="preserve"> </w:t>
            </w:r>
            <w:r w:rsidRPr="00D9446E">
              <w:rPr>
                <w:rFonts w:cs="Times New Roman"/>
                <w:color w:val="000000"/>
              </w:rPr>
              <w:t>in-water work. Original Version 1.0, May 4, 2020.</w:t>
            </w:r>
          </w:p>
          <w:p w14:paraId="15F39F85" w14:textId="1DEDC3CB" w:rsidR="005A1E59" w:rsidRDefault="005A1E59" w:rsidP="005A1E59">
            <w:pPr>
              <w:autoSpaceDE w:val="0"/>
              <w:autoSpaceDN w:val="0"/>
              <w:adjustRightInd w:val="0"/>
              <w:spacing w:after="0" w:line="240" w:lineRule="auto"/>
              <w:rPr>
                <w:rFonts w:cs="Times New Roman"/>
                <w:color w:val="0563C2"/>
              </w:rPr>
            </w:pPr>
            <w:r w:rsidRPr="00D9446E">
              <w:rPr>
                <w:rFonts w:cs="Times New Roman"/>
                <w:color w:val="000000"/>
              </w:rPr>
              <w:t xml:space="preserve"> 26 pp. + Appendices. Available:</w:t>
            </w:r>
            <w:r>
              <w:rPr>
                <w:rFonts w:cs="Times New Roman"/>
                <w:color w:val="000000"/>
              </w:rPr>
              <w:t xml:space="preserve"> </w:t>
            </w:r>
            <w:hyperlink r:id="rId8" w:history="1">
              <w:r w:rsidRPr="00825AB3">
                <w:rPr>
                  <w:rStyle w:val="Hyperlink"/>
                  <w:rFonts w:cs="Times New Roman"/>
                </w:rPr>
                <w:t>https://www.fws.gov/pacificlamprey/LTWGMainpage.cfm</w:t>
              </w:r>
            </w:hyperlink>
            <w:r w:rsidRPr="00D9446E">
              <w:rPr>
                <w:rFonts w:cs="Times New Roman"/>
                <w:color w:val="0563C2"/>
              </w:rPr>
              <w:t xml:space="preserve"> </w:t>
            </w:r>
          </w:p>
          <w:p w14:paraId="457CF65F" w14:textId="77777777" w:rsidR="005A1E59" w:rsidRPr="005A1E59" w:rsidRDefault="005A1E59" w:rsidP="005A1E59">
            <w:pPr>
              <w:autoSpaceDE w:val="0"/>
              <w:autoSpaceDN w:val="0"/>
              <w:adjustRightInd w:val="0"/>
              <w:spacing w:after="0" w:line="240" w:lineRule="auto"/>
              <w:rPr>
                <w:rFonts w:cs="Times New Roman"/>
                <w:color w:val="000000"/>
              </w:rPr>
            </w:pPr>
          </w:p>
          <w:p w14:paraId="17B50910" w14:textId="557F768B" w:rsidR="005A1E59" w:rsidRPr="00977081" w:rsidRDefault="005A1E59" w:rsidP="005A1E59">
            <w:pPr>
              <w:pStyle w:val="Bibliography"/>
              <w:rPr>
                <w:rFonts w:cs="Times New Roman"/>
              </w:rPr>
            </w:pPr>
            <w:r w:rsidRPr="00D9446E">
              <w:rPr>
                <w:color w:val="0563C2"/>
              </w:rPr>
              <w:fldChar w:fldCharType="begin"/>
            </w:r>
            <w:r w:rsidRPr="00D9446E">
              <w:rPr>
                <w:color w:val="0563C2"/>
              </w:rPr>
              <w:instrText xml:space="preserve"> ADDIN ZOTERO_BIBL {"uncited":[],"omitted":[],"custom":[]} CSL_BIBLIOGRAPHY </w:instrText>
            </w:r>
            <w:r w:rsidRPr="00D9446E">
              <w:rPr>
                <w:color w:val="0563C2"/>
              </w:rPr>
              <w:fldChar w:fldCharType="separate"/>
            </w:r>
            <w:r w:rsidRPr="00977081">
              <w:rPr>
                <w:rFonts w:cs="Times New Roman"/>
              </w:rPr>
              <w:t xml:space="preserve">Harris, J. E., J. J. </w:t>
            </w:r>
            <w:proofErr w:type="spellStart"/>
            <w:r w:rsidRPr="00977081">
              <w:rPr>
                <w:rFonts w:cs="Times New Roman"/>
              </w:rPr>
              <w:t>Skalicky</w:t>
            </w:r>
            <w:proofErr w:type="spellEnd"/>
            <w:r w:rsidRPr="00977081">
              <w:rPr>
                <w:rFonts w:cs="Times New Roman"/>
              </w:rPr>
              <w:t>, T. L. Liedtke, L. K. Weiland, B. J. Clemens, and A. E. Gray. 2020. Effects of dewatering on behavior, distribution, and abundance of larval lampreys. River Research and Applications 36(10):2001–2012.</w:t>
            </w:r>
          </w:p>
          <w:p w14:paraId="172971B3" w14:textId="77777777" w:rsidR="005A1E59" w:rsidRPr="00977081" w:rsidRDefault="005A1E59" w:rsidP="005A1E59">
            <w:pPr>
              <w:pStyle w:val="Bibliography"/>
              <w:rPr>
                <w:rFonts w:cs="Times New Roman"/>
              </w:rPr>
            </w:pPr>
            <w:r w:rsidRPr="00977081">
              <w:rPr>
                <w:rFonts w:cs="Times New Roman"/>
              </w:rPr>
              <w:t>Liedtke, T. L., L. K. Weiland, and M. G. Mesa. 2015. Vulnerability of Larval Lamprey to Columbia River Hydropower System Operations—Effects of Dewatering on Larval Lamprey Movements and Survival. USGS Open File Report 2015–117:28 p.</w:t>
            </w:r>
          </w:p>
          <w:p w14:paraId="443EFAA9" w14:textId="66047A1E" w:rsidR="00327F09" w:rsidRDefault="005A1E59" w:rsidP="005A1E59">
            <w:pPr>
              <w:spacing w:after="0" w:line="240" w:lineRule="auto"/>
              <w:rPr>
                <w:rFonts w:cs="Times New Roman"/>
                <w:color w:val="0563C2"/>
              </w:rPr>
            </w:pPr>
            <w:r w:rsidRPr="00D9446E">
              <w:rPr>
                <w:rFonts w:cs="Times New Roman"/>
                <w:color w:val="0563C2"/>
              </w:rPr>
              <w:fldChar w:fldCharType="end"/>
            </w:r>
          </w:p>
          <w:p w14:paraId="54CDC868" w14:textId="78B2F8A4" w:rsidR="005A1E59" w:rsidRPr="005A1E59" w:rsidRDefault="005A1E59" w:rsidP="005A1E59">
            <w:pPr>
              <w:spacing w:after="0" w:line="240" w:lineRule="auto"/>
              <w:rPr>
                <w:rFonts w:cs="Times New Roman"/>
                <w:b/>
                <w:bCs/>
              </w:rPr>
            </w:pPr>
            <w:r w:rsidRPr="005A1E59">
              <w:rPr>
                <w:rFonts w:cs="Times New Roman"/>
                <w:b/>
                <w:bCs/>
              </w:rPr>
              <w:t>Notes on Study Execution:</w:t>
            </w:r>
          </w:p>
          <w:p w14:paraId="04F9A3D8" w14:textId="77777777" w:rsidR="005A1E59" w:rsidRDefault="005A1E59" w:rsidP="005A1E59">
            <w:pPr>
              <w:spacing w:after="0" w:line="240" w:lineRule="auto"/>
              <w:rPr>
                <w:rFonts w:ascii="Calibri" w:eastAsia="Times New Roman" w:hAnsi="Calibri" w:cs="Calibri"/>
                <w:color w:val="000000"/>
              </w:rPr>
            </w:pPr>
          </w:p>
          <w:p w14:paraId="0764BB45" w14:textId="6B0F6323" w:rsidR="00327F09" w:rsidRDefault="005A1E59" w:rsidP="00327F09">
            <w:pPr>
              <w:spacing w:after="0" w:line="240" w:lineRule="auto"/>
              <w:rPr>
                <w:rFonts w:ascii="Calibri" w:eastAsia="Times New Roman" w:hAnsi="Calibri" w:cs="Calibri"/>
                <w:color w:val="000000"/>
              </w:rPr>
            </w:pPr>
            <w:r>
              <w:rPr>
                <w:rFonts w:ascii="Calibri" w:eastAsia="Times New Roman" w:hAnsi="Calibri" w:cs="Calibri"/>
                <w:color w:val="000000"/>
              </w:rPr>
              <w:t>Objective 1 activities defined the target air and water temperatures for each of the described temperature bands:</w:t>
            </w:r>
          </w:p>
          <w:p w14:paraId="0DCC0A90" w14:textId="77777777" w:rsidR="00327F09" w:rsidRDefault="00327F09" w:rsidP="00327F09">
            <w:pPr>
              <w:spacing w:after="0" w:line="240" w:lineRule="auto"/>
              <w:rPr>
                <w:rFonts w:ascii="Calibri" w:eastAsia="Times New Roman" w:hAnsi="Calibri" w:cs="Calibri"/>
                <w:color w:val="000000"/>
              </w:rPr>
            </w:pPr>
          </w:p>
          <w:p w14:paraId="40FB17E2" w14:textId="6E96BC4D" w:rsidR="00327F09" w:rsidRPr="00327F09" w:rsidRDefault="00327F09" w:rsidP="00327F09">
            <w:pPr>
              <w:spacing w:after="0" w:line="240" w:lineRule="auto"/>
              <w:rPr>
                <w:rFonts w:ascii="Calibri" w:eastAsia="Times New Roman" w:hAnsi="Calibri" w:cs="Calibri"/>
                <w:color w:val="000000"/>
              </w:rPr>
            </w:pPr>
          </w:p>
        </w:tc>
      </w:tr>
      <w:tr w:rsidR="005A1E59" w14:paraId="2B52A6C5" w14:textId="77777777" w:rsidTr="005A1E59">
        <w:trPr>
          <w:trHeight w:val="288"/>
        </w:trPr>
        <w:tc>
          <w:tcPr>
            <w:tcW w:w="2220" w:type="dxa"/>
            <w:tcBorders>
              <w:top w:val="nil"/>
              <w:left w:val="nil"/>
              <w:bottom w:val="nil"/>
              <w:right w:val="nil"/>
            </w:tcBorders>
            <w:shd w:val="clear" w:color="000000" w:fill="B4C6E7"/>
            <w:noWrap/>
            <w:vAlign w:val="bottom"/>
            <w:hideMark/>
          </w:tcPr>
          <w:p w14:paraId="5FA85AD1" w14:textId="77777777" w:rsidR="005A1E59" w:rsidRDefault="005A1E59">
            <w:pPr>
              <w:jc w:val="center"/>
              <w:rPr>
                <w:rFonts w:ascii="Calibri" w:hAnsi="Calibri" w:cs="Calibri"/>
                <w:color w:val="000000"/>
              </w:rPr>
            </w:pPr>
            <w:r>
              <w:rPr>
                <w:rFonts w:ascii="Calibri" w:hAnsi="Calibri" w:cs="Calibri"/>
                <w:color w:val="000000"/>
              </w:rPr>
              <w:lastRenderedPageBreak/>
              <w:t> </w:t>
            </w:r>
          </w:p>
        </w:tc>
        <w:tc>
          <w:tcPr>
            <w:tcW w:w="2860" w:type="dxa"/>
            <w:tcBorders>
              <w:top w:val="nil"/>
              <w:left w:val="nil"/>
              <w:bottom w:val="nil"/>
              <w:right w:val="nil"/>
            </w:tcBorders>
            <w:shd w:val="clear" w:color="000000" w:fill="B4C6E7"/>
            <w:noWrap/>
            <w:vAlign w:val="bottom"/>
            <w:hideMark/>
          </w:tcPr>
          <w:p w14:paraId="58B0F1D8" w14:textId="77777777" w:rsidR="005A1E59" w:rsidRDefault="005A1E59">
            <w:pPr>
              <w:jc w:val="center"/>
              <w:rPr>
                <w:rFonts w:ascii="Calibri" w:hAnsi="Calibri" w:cs="Calibri"/>
                <w:color w:val="000000"/>
              </w:rPr>
            </w:pPr>
            <w:r>
              <w:rPr>
                <w:rFonts w:ascii="Calibri" w:hAnsi="Calibri" w:cs="Calibri"/>
                <w:color w:val="000000"/>
              </w:rPr>
              <w:t> </w:t>
            </w:r>
          </w:p>
        </w:tc>
        <w:tc>
          <w:tcPr>
            <w:tcW w:w="2440" w:type="dxa"/>
            <w:gridSpan w:val="4"/>
            <w:tcBorders>
              <w:top w:val="nil"/>
              <w:left w:val="nil"/>
              <w:bottom w:val="nil"/>
              <w:right w:val="nil"/>
            </w:tcBorders>
            <w:shd w:val="clear" w:color="000000" w:fill="B4C6E7"/>
            <w:noWrap/>
            <w:vAlign w:val="bottom"/>
            <w:hideMark/>
          </w:tcPr>
          <w:p w14:paraId="173AD738" w14:textId="77777777" w:rsidR="005A1E59" w:rsidRDefault="005A1E59">
            <w:pPr>
              <w:jc w:val="center"/>
              <w:rPr>
                <w:rFonts w:ascii="Calibri" w:hAnsi="Calibri" w:cs="Calibri"/>
                <w:color w:val="000000"/>
              </w:rPr>
            </w:pPr>
            <w:r>
              <w:rPr>
                <w:rFonts w:ascii="Calibri" w:hAnsi="Calibri" w:cs="Calibri"/>
                <w:color w:val="000000"/>
              </w:rPr>
              <w:t>Air Temperature Target</w:t>
            </w:r>
          </w:p>
        </w:tc>
        <w:tc>
          <w:tcPr>
            <w:tcW w:w="2920" w:type="dxa"/>
            <w:gridSpan w:val="5"/>
            <w:tcBorders>
              <w:top w:val="nil"/>
              <w:left w:val="nil"/>
              <w:bottom w:val="nil"/>
              <w:right w:val="nil"/>
            </w:tcBorders>
            <w:shd w:val="clear" w:color="000000" w:fill="B4C6E7"/>
            <w:noWrap/>
            <w:vAlign w:val="bottom"/>
            <w:hideMark/>
          </w:tcPr>
          <w:p w14:paraId="475F3A76" w14:textId="77777777" w:rsidR="005A1E59" w:rsidRDefault="005A1E59">
            <w:pPr>
              <w:jc w:val="center"/>
              <w:rPr>
                <w:rFonts w:ascii="Calibri" w:hAnsi="Calibri" w:cs="Calibri"/>
                <w:color w:val="000000"/>
              </w:rPr>
            </w:pPr>
            <w:r>
              <w:rPr>
                <w:rFonts w:ascii="Calibri" w:hAnsi="Calibri" w:cs="Calibri"/>
                <w:color w:val="000000"/>
              </w:rPr>
              <w:t>Water Temperature Target</w:t>
            </w:r>
          </w:p>
        </w:tc>
      </w:tr>
      <w:tr w:rsidR="005A1E59" w14:paraId="46C82E82" w14:textId="77777777" w:rsidTr="005A1E59">
        <w:trPr>
          <w:trHeight w:val="659"/>
        </w:trPr>
        <w:tc>
          <w:tcPr>
            <w:tcW w:w="2220" w:type="dxa"/>
            <w:tcBorders>
              <w:top w:val="nil"/>
              <w:left w:val="nil"/>
              <w:bottom w:val="nil"/>
              <w:right w:val="nil"/>
            </w:tcBorders>
            <w:shd w:val="clear" w:color="000000" w:fill="B4C6E7"/>
            <w:noWrap/>
            <w:vAlign w:val="bottom"/>
            <w:hideMark/>
          </w:tcPr>
          <w:p w14:paraId="1CD4AE9B" w14:textId="77777777" w:rsidR="005A1E59" w:rsidRDefault="005A1E59">
            <w:pPr>
              <w:jc w:val="center"/>
              <w:rPr>
                <w:rFonts w:ascii="Calibri" w:hAnsi="Calibri" w:cs="Calibri"/>
                <w:color w:val="000000"/>
              </w:rPr>
            </w:pPr>
            <w:r>
              <w:rPr>
                <w:rFonts w:ascii="Calibri" w:hAnsi="Calibri" w:cs="Calibri"/>
                <w:color w:val="000000"/>
              </w:rPr>
              <w:t>Low Temperature</w:t>
            </w:r>
          </w:p>
        </w:tc>
        <w:tc>
          <w:tcPr>
            <w:tcW w:w="2860" w:type="dxa"/>
            <w:tcBorders>
              <w:top w:val="nil"/>
              <w:left w:val="nil"/>
              <w:bottom w:val="nil"/>
              <w:right w:val="nil"/>
            </w:tcBorders>
            <w:shd w:val="clear" w:color="auto" w:fill="auto"/>
            <w:vAlign w:val="bottom"/>
            <w:hideMark/>
          </w:tcPr>
          <w:p w14:paraId="263B3E63" w14:textId="77777777" w:rsidR="005A1E59" w:rsidRDefault="005A1E59">
            <w:pPr>
              <w:jc w:val="center"/>
              <w:rPr>
                <w:rFonts w:ascii="Calibri" w:hAnsi="Calibri" w:cs="Calibri"/>
                <w:color w:val="000000"/>
              </w:rPr>
            </w:pPr>
            <w:r>
              <w:rPr>
                <w:rFonts w:ascii="Calibri" w:hAnsi="Calibri" w:cs="Calibri"/>
                <w:color w:val="000000"/>
              </w:rPr>
              <w:t>to simulate fall dewatering events</w:t>
            </w:r>
          </w:p>
        </w:tc>
        <w:tc>
          <w:tcPr>
            <w:tcW w:w="2440" w:type="dxa"/>
            <w:gridSpan w:val="4"/>
            <w:tcBorders>
              <w:top w:val="nil"/>
              <w:left w:val="nil"/>
              <w:bottom w:val="nil"/>
              <w:right w:val="nil"/>
            </w:tcBorders>
            <w:shd w:val="clear" w:color="auto" w:fill="auto"/>
            <w:noWrap/>
            <w:vAlign w:val="bottom"/>
            <w:hideMark/>
          </w:tcPr>
          <w:p w14:paraId="49D519C8" w14:textId="77777777" w:rsidR="005A1E59" w:rsidRDefault="005A1E59">
            <w:pPr>
              <w:jc w:val="center"/>
              <w:rPr>
                <w:rFonts w:ascii="Calibri" w:hAnsi="Calibri" w:cs="Calibri"/>
                <w:color w:val="000000"/>
              </w:rPr>
            </w:pPr>
            <w:r>
              <w:rPr>
                <w:rFonts w:ascii="Calibri" w:hAnsi="Calibri" w:cs="Calibri"/>
                <w:color w:val="000000"/>
              </w:rPr>
              <w:t>12 to 14 C</w:t>
            </w:r>
          </w:p>
        </w:tc>
        <w:tc>
          <w:tcPr>
            <w:tcW w:w="2920" w:type="dxa"/>
            <w:gridSpan w:val="5"/>
            <w:tcBorders>
              <w:top w:val="nil"/>
              <w:left w:val="nil"/>
              <w:bottom w:val="nil"/>
              <w:right w:val="nil"/>
            </w:tcBorders>
            <w:shd w:val="clear" w:color="auto" w:fill="auto"/>
            <w:noWrap/>
            <w:vAlign w:val="bottom"/>
            <w:hideMark/>
          </w:tcPr>
          <w:p w14:paraId="0F4AE1E1" w14:textId="77777777" w:rsidR="005A1E59" w:rsidRDefault="005A1E59">
            <w:pPr>
              <w:jc w:val="center"/>
              <w:rPr>
                <w:rFonts w:ascii="Calibri" w:hAnsi="Calibri" w:cs="Calibri"/>
                <w:color w:val="000000"/>
              </w:rPr>
            </w:pPr>
            <w:r>
              <w:rPr>
                <w:rFonts w:ascii="Calibri" w:hAnsi="Calibri" w:cs="Calibri"/>
                <w:color w:val="000000"/>
              </w:rPr>
              <w:t>11 C</w:t>
            </w:r>
          </w:p>
        </w:tc>
      </w:tr>
      <w:tr w:rsidR="005A1E59" w14:paraId="70218810" w14:textId="77777777" w:rsidTr="005A1E59">
        <w:trPr>
          <w:trHeight w:val="288"/>
        </w:trPr>
        <w:tc>
          <w:tcPr>
            <w:tcW w:w="2220" w:type="dxa"/>
            <w:tcBorders>
              <w:top w:val="nil"/>
              <w:left w:val="nil"/>
              <w:bottom w:val="nil"/>
              <w:right w:val="nil"/>
            </w:tcBorders>
            <w:shd w:val="clear" w:color="000000" w:fill="B4C6E7"/>
            <w:noWrap/>
            <w:vAlign w:val="bottom"/>
            <w:hideMark/>
          </w:tcPr>
          <w:p w14:paraId="08AD0CCB" w14:textId="77777777" w:rsidR="005A1E59" w:rsidRDefault="005A1E59">
            <w:pPr>
              <w:jc w:val="center"/>
              <w:rPr>
                <w:rFonts w:ascii="Calibri" w:hAnsi="Calibri" w:cs="Calibri"/>
                <w:color w:val="000000"/>
              </w:rPr>
            </w:pPr>
            <w:r>
              <w:rPr>
                <w:rFonts w:ascii="Calibri" w:hAnsi="Calibri" w:cs="Calibri"/>
                <w:color w:val="000000"/>
              </w:rPr>
              <w:t> </w:t>
            </w:r>
          </w:p>
        </w:tc>
        <w:tc>
          <w:tcPr>
            <w:tcW w:w="2860" w:type="dxa"/>
            <w:tcBorders>
              <w:top w:val="nil"/>
              <w:left w:val="nil"/>
              <w:bottom w:val="nil"/>
              <w:right w:val="nil"/>
            </w:tcBorders>
            <w:shd w:val="clear" w:color="auto" w:fill="auto"/>
            <w:vAlign w:val="bottom"/>
            <w:hideMark/>
          </w:tcPr>
          <w:p w14:paraId="71D079DF" w14:textId="77777777" w:rsidR="005A1E59" w:rsidRDefault="005A1E59">
            <w:pPr>
              <w:jc w:val="center"/>
              <w:rPr>
                <w:rFonts w:ascii="Calibri" w:hAnsi="Calibri" w:cs="Calibri"/>
                <w:color w:val="000000"/>
              </w:rPr>
            </w:pPr>
          </w:p>
        </w:tc>
        <w:tc>
          <w:tcPr>
            <w:tcW w:w="2440" w:type="dxa"/>
            <w:gridSpan w:val="4"/>
            <w:tcBorders>
              <w:top w:val="nil"/>
              <w:left w:val="nil"/>
              <w:bottom w:val="nil"/>
              <w:right w:val="nil"/>
            </w:tcBorders>
            <w:shd w:val="clear" w:color="auto" w:fill="auto"/>
            <w:noWrap/>
            <w:vAlign w:val="bottom"/>
            <w:hideMark/>
          </w:tcPr>
          <w:p w14:paraId="65E04DB4" w14:textId="77777777" w:rsidR="005A1E59" w:rsidRDefault="005A1E59">
            <w:pPr>
              <w:jc w:val="center"/>
              <w:rPr>
                <w:sz w:val="20"/>
                <w:szCs w:val="20"/>
              </w:rPr>
            </w:pPr>
          </w:p>
        </w:tc>
        <w:tc>
          <w:tcPr>
            <w:tcW w:w="2920" w:type="dxa"/>
            <w:gridSpan w:val="5"/>
            <w:tcBorders>
              <w:top w:val="nil"/>
              <w:left w:val="nil"/>
              <w:bottom w:val="nil"/>
              <w:right w:val="nil"/>
            </w:tcBorders>
            <w:shd w:val="clear" w:color="auto" w:fill="auto"/>
            <w:noWrap/>
            <w:vAlign w:val="bottom"/>
            <w:hideMark/>
          </w:tcPr>
          <w:p w14:paraId="6911EF98" w14:textId="77777777" w:rsidR="005A1E59" w:rsidRDefault="005A1E59">
            <w:pPr>
              <w:jc w:val="center"/>
              <w:rPr>
                <w:sz w:val="20"/>
                <w:szCs w:val="20"/>
              </w:rPr>
            </w:pPr>
          </w:p>
        </w:tc>
      </w:tr>
      <w:tr w:rsidR="005A1E59" w14:paraId="74B58330" w14:textId="77777777" w:rsidTr="005A1E59">
        <w:trPr>
          <w:trHeight w:val="673"/>
        </w:trPr>
        <w:tc>
          <w:tcPr>
            <w:tcW w:w="2220" w:type="dxa"/>
            <w:tcBorders>
              <w:top w:val="nil"/>
              <w:left w:val="nil"/>
              <w:bottom w:val="nil"/>
              <w:right w:val="nil"/>
            </w:tcBorders>
            <w:shd w:val="clear" w:color="000000" w:fill="B4C6E7"/>
            <w:noWrap/>
            <w:vAlign w:val="bottom"/>
            <w:hideMark/>
          </w:tcPr>
          <w:p w14:paraId="516DB297" w14:textId="77777777" w:rsidR="005A1E59" w:rsidRDefault="005A1E59">
            <w:pPr>
              <w:jc w:val="center"/>
              <w:rPr>
                <w:rFonts w:ascii="Calibri" w:hAnsi="Calibri" w:cs="Calibri"/>
                <w:color w:val="000000"/>
              </w:rPr>
            </w:pPr>
            <w:r>
              <w:rPr>
                <w:rFonts w:ascii="Calibri" w:hAnsi="Calibri" w:cs="Calibri"/>
                <w:color w:val="000000"/>
              </w:rPr>
              <w:t>Medium Temperature</w:t>
            </w:r>
          </w:p>
        </w:tc>
        <w:tc>
          <w:tcPr>
            <w:tcW w:w="2860" w:type="dxa"/>
            <w:tcBorders>
              <w:top w:val="nil"/>
              <w:left w:val="nil"/>
              <w:bottom w:val="nil"/>
              <w:right w:val="nil"/>
            </w:tcBorders>
            <w:shd w:val="clear" w:color="auto" w:fill="auto"/>
            <w:vAlign w:val="bottom"/>
            <w:hideMark/>
          </w:tcPr>
          <w:p w14:paraId="78693088" w14:textId="536EC2B7" w:rsidR="005A1E59" w:rsidRDefault="005A1E59">
            <w:pPr>
              <w:jc w:val="center"/>
              <w:rPr>
                <w:rFonts w:ascii="Calibri" w:hAnsi="Calibri" w:cs="Calibri"/>
                <w:color w:val="000000"/>
              </w:rPr>
            </w:pPr>
            <w:r>
              <w:rPr>
                <w:rFonts w:ascii="Calibri" w:hAnsi="Calibri" w:cs="Calibri"/>
                <w:color w:val="000000"/>
              </w:rPr>
              <w:t xml:space="preserve">to simulate spring-early summer </w:t>
            </w:r>
            <w:r>
              <w:rPr>
                <w:rFonts w:ascii="Calibri" w:hAnsi="Calibri" w:cs="Calibri"/>
                <w:color w:val="000000"/>
              </w:rPr>
              <w:t>dewatering</w:t>
            </w:r>
            <w:r>
              <w:rPr>
                <w:rFonts w:ascii="Calibri" w:hAnsi="Calibri" w:cs="Calibri"/>
                <w:color w:val="000000"/>
              </w:rPr>
              <w:t xml:space="preserve"> events</w:t>
            </w:r>
          </w:p>
        </w:tc>
        <w:tc>
          <w:tcPr>
            <w:tcW w:w="2440" w:type="dxa"/>
            <w:gridSpan w:val="4"/>
            <w:tcBorders>
              <w:top w:val="nil"/>
              <w:left w:val="nil"/>
              <w:bottom w:val="nil"/>
              <w:right w:val="nil"/>
            </w:tcBorders>
            <w:shd w:val="clear" w:color="auto" w:fill="auto"/>
            <w:noWrap/>
            <w:vAlign w:val="bottom"/>
            <w:hideMark/>
          </w:tcPr>
          <w:p w14:paraId="7677BDE6" w14:textId="77777777" w:rsidR="005A1E59" w:rsidRDefault="005A1E59">
            <w:pPr>
              <w:jc w:val="center"/>
              <w:rPr>
                <w:rFonts w:ascii="Calibri" w:hAnsi="Calibri" w:cs="Calibri"/>
                <w:color w:val="000000"/>
              </w:rPr>
            </w:pPr>
            <w:r>
              <w:rPr>
                <w:rFonts w:ascii="Calibri" w:hAnsi="Calibri" w:cs="Calibri"/>
                <w:color w:val="000000"/>
              </w:rPr>
              <w:t>16 to 18 C</w:t>
            </w:r>
          </w:p>
        </w:tc>
        <w:tc>
          <w:tcPr>
            <w:tcW w:w="2920" w:type="dxa"/>
            <w:gridSpan w:val="5"/>
            <w:tcBorders>
              <w:top w:val="nil"/>
              <w:left w:val="nil"/>
              <w:bottom w:val="nil"/>
              <w:right w:val="nil"/>
            </w:tcBorders>
            <w:shd w:val="clear" w:color="auto" w:fill="auto"/>
            <w:noWrap/>
            <w:vAlign w:val="bottom"/>
            <w:hideMark/>
          </w:tcPr>
          <w:p w14:paraId="6ABD215B" w14:textId="77777777" w:rsidR="005A1E59" w:rsidRDefault="005A1E59">
            <w:pPr>
              <w:jc w:val="center"/>
              <w:rPr>
                <w:rFonts w:ascii="Calibri" w:hAnsi="Calibri" w:cs="Calibri"/>
                <w:color w:val="000000"/>
              </w:rPr>
            </w:pPr>
            <w:r>
              <w:rPr>
                <w:rFonts w:ascii="Calibri" w:hAnsi="Calibri" w:cs="Calibri"/>
                <w:color w:val="000000"/>
              </w:rPr>
              <w:t>14 C</w:t>
            </w:r>
          </w:p>
        </w:tc>
      </w:tr>
      <w:tr w:rsidR="005A1E59" w14:paraId="759E29A0" w14:textId="77777777" w:rsidTr="005A1E59">
        <w:trPr>
          <w:trHeight w:val="288"/>
        </w:trPr>
        <w:tc>
          <w:tcPr>
            <w:tcW w:w="2220" w:type="dxa"/>
            <w:tcBorders>
              <w:top w:val="nil"/>
              <w:left w:val="nil"/>
              <w:bottom w:val="nil"/>
              <w:right w:val="nil"/>
            </w:tcBorders>
            <w:shd w:val="clear" w:color="000000" w:fill="B4C6E7"/>
            <w:noWrap/>
            <w:vAlign w:val="bottom"/>
            <w:hideMark/>
          </w:tcPr>
          <w:p w14:paraId="7276AE30" w14:textId="77777777" w:rsidR="005A1E59" w:rsidRDefault="005A1E59">
            <w:pPr>
              <w:jc w:val="center"/>
              <w:rPr>
                <w:rFonts w:ascii="Calibri" w:hAnsi="Calibri" w:cs="Calibri"/>
                <w:color w:val="000000"/>
              </w:rPr>
            </w:pPr>
            <w:r>
              <w:rPr>
                <w:rFonts w:ascii="Calibri" w:hAnsi="Calibri" w:cs="Calibri"/>
                <w:color w:val="000000"/>
              </w:rPr>
              <w:t> </w:t>
            </w:r>
          </w:p>
        </w:tc>
        <w:tc>
          <w:tcPr>
            <w:tcW w:w="2860" w:type="dxa"/>
            <w:tcBorders>
              <w:top w:val="nil"/>
              <w:left w:val="nil"/>
              <w:bottom w:val="nil"/>
              <w:right w:val="nil"/>
            </w:tcBorders>
            <w:shd w:val="clear" w:color="auto" w:fill="auto"/>
            <w:vAlign w:val="bottom"/>
            <w:hideMark/>
          </w:tcPr>
          <w:p w14:paraId="4E055B0D" w14:textId="77777777" w:rsidR="005A1E59" w:rsidRDefault="005A1E59">
            <w:pPr>
              <w:jc w:val="center"/>
              <w:rPr>
                <w:rFonts w:ascii="Calibri" w:hAnsi="Calibri" w:cs="Calibri"/>
                <w:color w:val="000000"/>
              </w:rPr>
            </w:pPr>
          </w:p>
        </w:tc>
        <w:tc>
          <w:tcPr>
            <w:tcW w:w="2440" w:type="dxa"/>
            <w:gridSpan w:val="4"/>
            <w:tcBorders>
              <w:top w:val="nil"/>
              <w:left w:val="nil"/>
              <w:bottom w:val="nil"/>
              <w:right w:val="nil"/>
            </w:tcBorders>
            <w:shd w:val="clear" w:color="auto" w:fill="auto"/>
            <w:noWrap/>
            <w:vAlign w:val="bottom"/>
            <w:hideMark/>
          </w:tcPr>
          <w:p w14:paraId="3E82E60D" w14:textId="77777777" w:rsidR="005A1E59" w:rsidRDefault="005A1E59">
            <w:pPr>
              <w:jc w:val="center"/>
              <w:rPr>
                <w:sz w:val="20"/>
                <w:szCs w:val="20"/>
              </w:rPr>
            </w:pPr>
          </w:p>
        </w:tc>
        <w:tc>
          <w:tcPr>
            <w:tcW w:w="2920" w:type="dxa"/>
            <w:gridSpan w:val="5"/>
            <w:tcBorders>
              <w:top w:val="nil"/>
              <w:left w:val="nil"/>
              <w:bottom w:val="nil"/>
              <w:right w:val="nil"/>
            </w:tcBorders>
            <w:shd w:val="clear" w:color="auto" w:fill="auto"/>
            <w:noWrap/>
            <w:vAlign w:val="bottom"/>
            <w:hideMark/>
          </w:tcPr>
          <w:p w14:paraId="3EC062E1" w14:textId="77777777" w:rsidR="005A1E59" w:rsidRDefault="005A1E59">
            <w:pPr>
              <w:jc w:val="center"/>
              <w:rPr>
                <w:sz w:val="20"/>
                <w:szCs w:val="20"/>
              </w:rPr>
            </w:pPr>
          </w:p>
        </w:tc>
      </w:tr>
      <w:tr w:rsidR="005A1E59" w14:paraId="41003174" w14:textId="77777777" w:rsidTr="005A1E59">
        <w:trPr>
          <w:trHeight w:val="898"/>
        </w:trPr>
        <w:tc>
          <w:tcPr>
            <w:tcW w:w="2220" w:type="dxa"/>
            <w:tcBorders>
              <w:top w:val="nil"/>
              <w:left w:val="nil"/>
              <w:bottom w:val="nil"/>
              <w:right w:val="nil"/>
            </w:tcBorders>
            <w:shd w:val="clear" w:color="000000" w:fill="B4C6E7"/>
            <w:noWrap/>
            <w:vAlign w:val="bottom"/>
            <w:hideMark/>
          </w:tcPr>
          <w:p w14:paraId="4FAFE1CD" w14:textId="77777777" w:rsidR="005A1E59" w:rsidRDefault="005A1E59">
            <w:pPr>
              <w:jc w:val="center"/>
              <w:rPr>
                <w:rFonts w:ascii="Calibri" w:hAnsi="Calibri" w:cs="Calibri"/>
                <w:color w:val="000000"/>
              </w:rPr>
            </w:pPr>
            <w:r>
              <w:rPr>
                <w:rFonts w:ascii="Calibri" w:hAnsi="Calibri" w:cs="Calibri"/>
                <w:color w:val="000000"/>
              </w:rPr>
              <w:t>High Temperature</w:t>
            </w:r>
          </w:p>
        </w:tc>
        <w:tc>
          <w:tcPr>
            <w:tcW w:w="2860" w:type="dxa"/>
            <w:tcBorders>
              <w:top w:val="nil"/>
              <w:left w:val="nil"/>
              <w:bottom w:val="nil"/>
              <w:right w:val="nil"/>
            </w:tcBorders>
            <w:shd w:val="clear" w:color="auto" w:fill="auto"/>
            <w:vAlign w:val="bottom"/>
            <w:hideMark/>
          </w:tcPr>
          <w:p w14:paraId="297646EC" w14:textId="7A8568B8" w:rsidR="005A1E59" w:rsidRDefault="005A1E59">
            <w:pPr>
              <w:jc w:val="center"/>
              <w:rPr>
                <w:rFonts w:ascii="Calibri" w:hAnsi="Calibri" w:cs="Calibri"/>
                <w:color w:val="000000"/>
              </w:rPr>
            </w:pPr>
            <w:r>
              <w:rPr>
                <w:rFonts w:ascii="Calibri" w:hAnsi="Calibri" w:cs="Calibri"/>
                <w:color w:val="000000"/>
              </w:rPr>
              <w:t xml:space="preserve">to simulate summer max </w:t>
            </w:r>
            <w:r>
              <w:rPr>
                <w:rFonts w:ascii="Calibri" w:hAnsi="Calibri" w:cs="Calibri"/>
                <w:color w:val="000000"/>
              </w:rPr>
              <w:t>temperature</w:t>
            </w:r>
            <w:r>
              <w:rPr>
                <w:rFonts w:ascii="Calibri" w:hAnsi="Calibri" w:cs="Calibri"/>
                <w:color w:val="000000"/>
              </w:rPr>
              <w:t xml:space="preserve"> dewatering events</w:t>
            </w:r>
          </w:p>
        </w:tc>
        <w:tc>
          <w:tcPr>
            <w:tcW w:w="2440" w:type="dxa"/>
            <w:gridSpan w:val="4"/>
            <w:tcBorders>
              <w:top w:val="nil"/>
              <w:left w:val="nil"/>
              <w:bottom w:val="nil"/>
              <w:right w:val="nil"/>
            </w:tcBorders>
            <w:shd w:val="clear" w:color="auto" w:fill="auto"/>
            <w:noWrap/>
            <w:vAlign w:val="bottom"/>
            <w:hideMark/>
          </w:tcPr>
          <w:p w14:paraId="398B9038" w14:textId="77777777" w:rsidR="005A1E59" w:rsidRDefault="005A1E59">
            <w:pPr>
              <w:jc w:val="center"/>
              <w:rPr>
                <w:rFonts w:ascii="Calibri" w:hAnsi="Calibri" w:cs="Calibri"/>
                <w:color w:val="000000"/>
              </w:rPr>
            </w:pPr>
            <w:r>
              <w:rPr>
                <w:rFonts w:ascii="Calibri" w:hAnsi="Calibri" w:cs="Calibri"/>
                <w:color w:val="000000"/>
              </w:rPr>
              <w:t>21 to 24 C</w:t>
            </w:r>
          </w:p>
        </w:tc>
        <w:tc>
          <w:tcPr>
            <w:tcW w:w="2920" w:type="dxa"/>
            <w:gridSpan w:val="5"/>
            <w:tcBorders>
              <w:top w:val="nil"/>
              <w:left w:val="nil"/>
              <w:bottom w:val="nil"/>
              <w:right w:val="nil"/>
            </w:tcBorders>
            <w:shd w:val="clear" w:color="auto" w:fill="auto"/>
            <w:noWrap/>
            <w:vAlign w:val="bottom"/>
            <w:hideMark/>
          </w:tcPr>
          <w:p w14:paraId="3A288EEF" w14:textId="77777777" w:rsidR="005A1E59" w:rsidRDefault="005A1E59">
            <w:pPr>
              <w:jc w:val="center"/>
              <w:rPr>
                <w:rFonts w:ascii="Calibri" w:hAnsi="Calibri" w:cs="Calibri"/>
                <w:color w:val="000000"/>
              </w:rPr>
            </w:pPr>
            <w:r>
              <w:rPr>
                <w:rFonts w:ascii="Calibri" w:hAnsi="Calibri" w:cs="Calibri"/>
                <w:color w:val="000000"/>
              </w:rPr>
              <w:t>18 C</w:t>
            </w:r>
          </w:p>
        </w:tc>
      </w:tr>
      <w:tr w:rsidR="00327F09" w:rsidRPr="00327F09" w14:paraId="10A70094" w14:textId="77777777" w:rsidTr="005A1E59">
        <w:trPr>
          <w:gridAfter w:val="1"/>
          <w:wAfter w:w="2131" w:type="dxa"/>
          <w:trHeight w:val="288"/>
        </w:trPr>
        <w:tc>
          <w:tcPr>
            <w:tcW w:w="8087" w:type="dxa"/>
            <w:gridSpan w:val="9"/>
            <w:tcBorders>
              <w:top w:val="nil"/>
              <w:left w:val="nil"/>
              <w:bottom w:val="nil"/>
              <w:right w:val="nil"/>
            </w:tcBorders>
            <w:shd w:val="clear" w:color="auto" w:fill="auto"/>
            <w:noWrap/>
            <w:vAlign w:val="bottom"/>
          </w:tcPr>
          <w:p w14:paraId="75B338E8" w14:textId="5375F076" w:rsidR="00327F09" w:rsidRPr="00327F09" w:rsidRDefault="00327F09" w:rsidP="00327F0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79B01F5" w14:textId="77777777" w:rsidR="00327F09" w:rsidRPr="00327F09" w:rsidRDefault="00327F09" w:rsidP="00327F09">
            <w:pPr>
              <w:spacing w:after="0" w:line="240" w:lineRule="auto"/>
              <w:rPr>
                <w:rFonts w:ascii="Calibri" w:eastAsia="Times New Roman" w:hAnsi="Calibri" w:cs="Calibri"/>
                <w:color w:val="000000"/>
              </w:rPr>
            </w:pPr>
          </w:p>
        </w:tc>
      </w:tr>
      <w:tr w:rsidR="00327F09" w:rsidRPr="00327F09" w14:paraId="2D94AFA6" w14:textId="77777777" w:rsidTr="005A1E59">
        <w:trPr>
          <w:gridAfter w:val="1"/>
          <w:wAfter w:w="2131" w:type="dxa"/>
          <w:trHeight w:val="288"/>
        </w:trPr>
        <w:tc>
          <w:tcPr>
            <w:tcW w:w="6977" w:type="dxa"/>
            <w:gridSpan w:val="3"/>
            <w:tcBorders>
              <w:top w:val="nil"/>
              <w:left w:val="nil"/>
              <w:bottom w:val="nil"/>
              <w:right w:val="nil"/>
            </w:tcBorders>
            <w:shd w:val="clear" w:color="auto" w:fill="auto"/>
            <w:noWrap/>
            <w:vAlign w:val="bottom"/>
          </w:tcPr>
          <w:p w14:paraId="71CDE8E2" w14:textId="1FAA5856" w:rsidR="00327F09" w:rsidRPr="00327F09" w:rsidRDefault="00327F09" w:rsidP="00327F0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036C0C02" w14:textId="77777777" w:rsidR="00327F09" w:rsidRPr="00327F09" w:rsidRDefault="00327F09" w:rsidP="00327F0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63155D66" w14:textId="77777777" w:rsidR="00327F09" w:rsidRPr="00327F09" w:rsidRDefault="00327F09" w:rsidP="00327F09">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tcPr>
          <w:p w14:paraId="45AD067E" w14:textId="77777777" w:rsidR="00327F09" w:rsidRPr="00327F09" w:rsidRDefault="00327F09" w:rsidP="00327F0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19DEF3F5" w14:textId="77777777" w:rsidR="00327F09" w:rsidRPr="00327F09" w:rsidRDefault="00327F09" w:rsidP="00327F0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1941ABDD" w14:textId="77777777" w:rsidR="00327F09" w:rsidRPr="00327F09" w:rsidRDefault="00327F09" w:rsidP="00327F09">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76AF70F" w14:textId="77777777" w:rsidR="00327F09" w:rsidRPr="00327F09" w:rsidRDefault="00327F09" w:rsidP="00327F09">
            <w:pPr>
              <w:spacing w:after="0" w:line="240" w:lineRule="auto"/>
              <w:rPr>
                <w:rFonts w:ascii="Times New Roman" w:eastAsia="Times New Roman" w:hAnsi="Times New Roman" w:cs="Times New Roman"/>
                <w:sz w:val="20"/>
                <w:szCs w:val="20"/>
              </w:rPr>
            </w:pPr>
          </w:p>
        </w:tc>
      </w:tr>
    </w:tbl>
    <w:p w14:paraId="2A5EE5D9" w14:textId="7FD25752" w:rsidR="00081564" w:rsidRDefault="005A1E59">
      <w:r>
        <w:t>We conducted an experiment for each temperature band, for a total of 3 experiments</w:t>
      </w:r>
      <w:proofErr w:type="gramStart"/>
      <w:r>
        <w:t xml:space="preserve">.  </w:t>
      </w:r>
      <w:proofErr w:type="gramEnd"/>
      <w:r>
        <w:t xml:space="preserve">Data summaries are organized by experiment and named for the target temperature band: low, medium, or high. </w:t>
      </w:r>
    </w:p>
    <w:sectPr w:rsidR="0008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4B73"/>
    <w:multiLevelType w:val="hybridMultilevel"/>
    <w:tmpl w:val="E298A2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F554A"/>
    <w:multiLevelType w:val="hybridMultilevel"/>
    <w:tmpl w:val="1D9C2B66"/>
    <w:lvl w:ilvl="0" w:tplc="93161DD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823744">
    <w:abstractNumId w:val="1"/>
  </w:num>
  <w:num w:numId="2" w16cid:durableId="6556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64"/>
    <w:rsid w:val="00081564"/>
    <w:rsid w:val="00327F09"/>
    <w:rsid w:val="005A1E59"/>
    <w:rsid w:val="0074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5D7B"/>
  <w15:chartTrackingRefBased/>
  <w15:docId w15:val="{6212F79C-D4CE-46B1-B25C-38E99E8B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7F09"/>
    <w:pPr>
      <w:keepLines/>
      <w:widowControl w:val="0"/>
      <w:numPr>
        <w:numId w:val="1"/>
      </w:numPr>
      <w:spacing w:before="40" w:after="0" w:line="259" w:lineRule="auto"/>
      <w:outlineLvl w:val="1"/>
    </w:pPr>
    <w:rPr>
      <w:rFonts w:ascii="Times New Roman" w:eastAsiaTheme="majorEastAsia" w:hAnsi="Times New Roman"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F09"/>
    <w:rPr>
      <w:rFonts w:ascii="Times New Roman" w:eastAsiaTheme="majorEastAsia" w:hAnsi="Times New Roman" w:cstheme="majorBidi"/>
      <w:b/>
      <w:color w:val="000000" w:themeColor="text1"/>
      <w:sz w:val="28"/>
      <w:szCs w:val="26"/>
    </w:rPr>
  </w:style>
  <w:style w:type="character" w:styleId="Hyperlink">
    <w:name w:val="Hyperlink"/>
    <w:basedOn w:val="DefaultParagraphFont"/>
    <w:uiPriority w:val="99"/>
    <w:unhideWhenUsed/>
    <w:rsid w:val="00327F09"/>
    <w:rPr>
      <w:color w:val="0000FF" w:themeColor="hyperlink"/>
      <w:u w:val="single"/>
    </w:rPr>
  </w:style>
  <w:style w:type="paragraph" w:styleId="ListParagraph">
    <w:name w:val="List Paragraph"/>
    <w:basedOn w:val="Normal"/>
    <w:link w:val="ListParagraphChar"/>
    <w:uiPriority w:val="34"/>
    <w:qFormat/>
    <w:rsid w:val="00327F09"/>
    <w:pPr>
      <w:widowControl w:val="0"/>
      <w:spacing w:after="160" w:line="259" w:lineRule="auto"/>
      <w:contextualSpacing/>
    </w:pPr>
    <w:rPr>
      <w:rFonts w:ascii="Times New Roman" w:hAnsi="Times New Roman"/>
      <w:sz w:val="24"/>
      <w:u w:val="single"/>
    </w:rPr>
  </w:style>
  <w:style w:type="character" w:customStyle="1" w:styleId="ListParagraphChar">
    <w:name w:val="List Paragraph Char"/>
    <w:link w:val="ListParagraph"/>
    <w:uiPriority w:val="34"/>
    <w:rsid w:val="00327F09"/>
    <w:rPr>
      <w:rFonts w:ascii="Times New Roman" w:hAnsi="Times New Roman"/>
      <w:sz w:val="24"/>
      <w:u w:val="single"/>
    </w:rPr>
  </w:style>
  <w:style w:type="table" w:customStyle="1" w:styleId="GridTable4-Accent11">
    <w:name w:val="Grid Table 4 - Accent 11"/>
    <w:basedOn w:val="TableNormal"/>
    <w:next w:val="GridTable4-Accent1"/>
    <w:uiPriority w:val="49"/>
    <w:rsid w:val="00327F09"/>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327F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ibliography">
    <w:name w:val="Bibliography"/>
    <w:basedOn w:val="Normal"/>
    <w:next w:val="Normal"/>
    <w:uiPriority w:val="37"/>
    <w:semiHidden/>
    <w:unhideWhenUsed/>
    <w:rsid w:val="005A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6425">
      <w:bodyDiv w:val="1"/>
      <w:marLeft w:val="0"/>
      <w:marRight w:val="0"/>
      <w:marTop w:val="0"/>
      <w:marBottom w:val="0"/>
      <w:divBdr>
        <w:top w:val="none" w:sz="0" w:space="0" w:color="auto"/>
        <w:left w:val="none" w:sz="0" w:space="0" w:color="auto"/>
        <w:bottom w:val="none" w:sz="0" w:space="0" w:color="auto"/>
        <w:right w:val="none" w:sz="0" w:space="0" w:color="auto"/>
      </w:divBdr>
    </w:div>
    <w:div w:id="466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acificlamprey/LTWGMainpage.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ne_harris@fws.gov" TargetMode="External"/><Relationship Id="rId5" Type="http://schemas.openxmlformats.org/officeDocument/2006/relationships/hyperlink" Target="mailto:joe.skalicky@fw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Liedtke, Theresa L</dc:creator>
  <cp:keywords/>
  <dc:description/>
  <cp:lastModifiedBy>Liedtke, Theresa L</cp:lastModifiedBy>
  <cp:revision>2</cp:revision>
  <dcterms:created xsi:type="dcterms:W3CDTF">2023-05-18T23:06:00Z</dcterms:created>
  <dcterms:modified xsi:type="dcterms:W3CDTF">2023-05-18T23:22:00Z</dcterms:modified>
</cp:coreProperties>
</file>